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szCs w:val="32"/>
        </w:rPr>
      </w:pPr>
      <w:bookmarkStart w:id="0" w:name="_GoBack"/>
      <w:bookmarkEnd w:id="0"/>
    </w:p>
    <w:p>
      <w:pPr>
        <w:rPr>
          <w:rFonts w:cs="Times New Roman"/>
          <w:szCs w:val="32"/>
        </w:rPr>
      </w:pPr>
    </w:p>
    <w:p>
      <w:pPr>
        <w:rPr>
          <w:rFonts w:cs="Times New Roman"/>
          <w:szCs w:val="32"/>
        </w:rPr>
      </w:pPr>
    </w:p>
    <w:p>
      <w:pPr>
        <w:rPr>
          <w:rFonts w:cs="Times New Roman"/>
          <w:szCs w:val="32"/>
        </w:rPr>
      </w:pPr>
    </w:p>
    <w:p>
      <w:pPr>
        <w:rPr>
          <w:rFonts w:cs="Times New Roman"/>
          <w:szCs w:val="32"/>
        </w:rPr>
      </w:pPr>
    </w:p>
    <w:p>
      <w:pPr>
        <w:rPr>
          <w:rFonts w:cs="Times New Roman"/>
          <w:szCs w:val="32"/>
        </w:rPr>
      </w:pPr>
    </w:p>
    <w:p>
      <w:pPr>
        <w:rPr>
          <w:rFonts w:cs="Times New Roman"/>
          <w:szCs w:val="32"/>
        </w:rPr>
      </w:pPr>
    </w:p>
    <w:p>
      <w:pPr>
        <w:jc w:val="center"/>
        <w:rPr>
          <w:rFonts w:cs="Times New Roman"/>
          <w:szCs w:val="32"/>
        </w:rPr>
      </w:pPr>
      <w:r>
        <w:rPr>
          <w:rFonts w:cs="Times New Roman"/>
          <w:szCs w:val="32"/>
        </w:rPr>
        <w:t>菏定</w:t>
      </w:r>
      <w:r>
        <w:rPr>
          <w:rFonts w:hint="eastAsia" w:cs="Times New Roman"/>
          <w:szCs w:val="32"/>
        </w:rPr>
        <w:t>政</w:t>
      </w:r>
      <w:r>
        <w:rPr>
          <w:rFonts w:hint="eastAsia" w:cs="Times New Roman"/>
        </w:rPr>
        <w:t>发</w:t>
      </w:r>
      <w:r>
        <w:rPr>
          <w:rFonts w:cs="Times New Roman"/>
          <w:szCs w:val="32"/>
        </w:rPr>
        <w:t>〔20</w:t>
      </w:r>
      <w:r>
        <w:rPr>
          <w:rFonts w:hint="eastAsia" w:cs="Times New Roman"/>
          <w:szCs w:val="32"/>
        </w:rPr>
        <w:t>20</w:t>
      </w:r>
      <w:r>
        <w:rPr>
          <w:rFonts w:cs="Times New Roman"/>
          <w:szCs w:val="32"/>
        </w:rPr>
        <w:t>〕</w:t>
      </w:r>
      <w:r>
        <w:rPr>
          <w:rFonts w:hint="eastAsia" w:cs="Times New Roman"/>
          <w:szCs w:val="32"/>
        </w:rPr>
        <w:t>6</w:t>
      </w:r>
      <w:r>
        <w:rPr>
          <w:rFonts w:cs="Times New Roman"/>
          <w:szCs w:val="32"/>
        </w:rPr>
        <w:t>号</w:t>
      </w:r>
    </w:p>
    <w:p>
      <w:pPr>
        <w:jc w:val="center"/>
        <w:rPr>
          <w:rFonts w:cs="Times New Roman"/>
          <w:szCs w:val="32"/>
        </w:rPr>
      </w:pPr>
    </w:p>
    <w:p>
      <w:pPr>
        <w:jc w:val="center"/>
        <w:rPr>
          <w:rFonts w:cs="Times New Roman"/>
          <w:szCs w:val="32"/>
        </w:rPr>
      </w:pP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菏泽市定陶区人民政府</w:t>
      </w:r>
    </w:p>
    <w:p>
      <w:pPr>
        <w:widowControl/>
        <w:spacing w:line="620" w:lineRule="exact"/>
        <w:jc w:val="center"/>
        <w:rPr>
          <w:rFonts w:eastAsia="方正小标宋简体" w:cs="Times New Roman"/>
          <w:kern w:val="0"/>
          <w:sz w:val="44"/>
          <w:szCs w:val="44"/>
          <w:lang w:bidi="ar"/>
        </w:rPr>
      </w:pPr>
      <w:r>
        <w:rPr>
          <w:rFonts w:eastAsia="方正小标宋简体" w:cs="Times New Roman"/>
          <w:kern w:val="0"/>
          <w:sz w:val="44"/>
          <w:szCs w:val="44"/>
          <w:lang w:bidi="ar"/>
        </w:rPr>
        <w:t>关于在市场监管领域全面推行部门联合</w:t>
      </w:r>
    </w:p>
    <w:p>
      <w:pPr>
        <w:widowControl/>
        <w:spacing w:line="620" w:lineRule="exact"/>
        <w:jc w:val="center"/>
        <w:rPr>
          <w:rFonts w:eastAsia="方正小标宋简体" w:cs="Times New Roman"/>
          <w:kern w:val="0"/>
          <w:sz w:val="44"/>
          <w:szCs w:val="44"/>
          <w:lang w:bidi="ar"/>
        </w:rPr>
      </w:pPr>
      <w:r>
        <w:rPr>
          <w:rFonts w:hint="eastAsia" w:eastAsia="方正小标宋简体" w:cs="Times New Roman"/>
          <w:kern w:val="0"/>
          <w:sz w:val="44"/>
          <w:szCs w:val="44"/>
          <w:lang w:bidi="ar"/>
        </w:rPr>
        <w:t>“</w:t>
      </w:r>
      <w:r>
        <w:rPr>
          <w:rFonts w:eastAsia="方正小标宋简体" w:cs="Times New Roman"/>
          <w:kern w:val="0"/>
          <w:sz w:val="44"/>
          <w:szCs w:val="44"/>
          <w:lang w:bidi="ar"/>
        </w:rPr>
        <w:t>双随机、一公开</w:t>
      </w:r>
      <w:r>
        <w:rPr>
          <w:rFonts w:hint="eastAsia" w:eastAsia="方正小标宋简体" w:cs="Times New Roman"/>
          <w:kern w:val="0"/>
          <w:sz w:val="44"/>
          <w:szCs w:val="44"/>
          <w:lang w:bidi="ar"/>
        </w:rPr>
        <w:t>”</w:t>
      </w:r>
      <w:r>
        <w:rPr>
          <w:rFonts w:eastAsia="方正小标宋简体" w:cs="Times New Roman"/>
          <w:kern w:val="0"/>
          <w:sz w:val="44"/>
          <w:szCs w:val="44"/>
          <w:lang w:bidi="ar"/>
        </w:rPr>
        <w:t>监管的实施意见</w:t>
      </w:r>
    </w:p>
    <w:p>
      <w:pPr>
        <w:rPr>
          <w:rFonts w:cs="Times New Roman"/>
        </w:rPr>
      </w:pPr>
    </w:p>
    <w:p>
      <w:pPr>
        <w:jc w:val="left"/>
        <w:rPr>
          <w:rFonts w:cs="Times New Roman"/>
          <w:szCs w:val="32"/>
        </w:rPr>
      </w:pPr>
      <w:r>
        <w:rPr>
          <w:rFonts w:cs="Times New Roman"/>
          <w:szCs w:val="32"/>
        </w:rPr>
        <w:t>各镇人民政府、街道办事处，</w:t>
      </w:r>
      <w:r>
        <w:rPr>
          <w:rFonts w:cs="Times New Roman"/>
          <w:kern w:val="0"/>
          <w:szCs w:val="32"/>
          <w:lang w:bidi="ar"/>
        </w:rPr>
        <w:t>区</w:t>
      </w:r>
      <w:r>
        <w:rPr>
          <w:rFonts w:cs="Times New Roman"/>
          <w:szCs w:val="32"/>
        </w:rPr>
        <w:t>政府各部门：</w:t>
      </w:r>
    </w:p>
    <w:p>
      <w:pPr>
        <w:pStyle w:val="14"/>
        <w:spacing w:beforeAutospacing="0" w:afterAutospacing="0"/>
        <w:ind w:firstLine="638" w:firstLineChars="202"/>
        <w:jc w:val="both"/>
        <w:rPr>
          <w:sz w:val="32"/>
          <w:szCs w:val="32"/>
        </w:rPr>
      </w:pPr>
      <w:r>
        <w:rPr>
          <w:sz w:val="32"/>
          <w:szCs w:val="32"/>
        </w:rPr>
        <w:t>为深入贯彻习近平新时代中国特色社会主义思想和党的十九大精神，认真贯彻落实《国务院关于在市场监管领域全面推行部门联合</w:t>
      </w:r>
      <w:r>
        <w:rPr>
          <w:rFonts w:hint="eastAsia"/>
          <w:sz w:val="32"/>
          <w:szCs w:val="32"/>
        </w:rPr>
        <w:t>“</w:t>
      </w:r>
      <w:r>
        <w:rPr>
          <w:sz w:val="32"/>
          <w:szCs w:val="32"/>
        </w:rPr>
        <w:t>双随机、一公开</w:t>
      </w:r>
      <w:r>
        <w:rPr>
          <w:rFonts w:hint="eastAsia"/>
          <w:sz w:val="32"/>
          <w:szCs w:val="32"/>
        </w:rPr>
        <w:t>”</w:t>
      </w:r>
      <w:r>
        <w:rPr>
          <w:sz w:val="32"/>
          <w:szCs w:val="32"/>
        </w:rPr>
        <w:t>监管的意见》（国发〔2019〕5号）、《山东省人民政府关于在市场监管领域全面推行部门联合</w:t>
      </w:r>
      <w:r>
        <w:rPr>
          <w:rFonts w:hint="eastAsia"/>
          <w:sz w:val="32"/>
          <w:szCs w:val="32"/>
        </w:rPr>
        <w:t>“</w:t>
      </w:r>
      <w:r>
        <w:rPr>
          <w:sz w:val="32"/>
          <w:szCs w:val="32"/>
        </w:rPr>
        <w:t>双随机、一公开</w:t>
      </w:r>
      <w:r>
        <w:rPr>
          <w:rFonts w:hint="eastAsia"/>
          <w:sz w:val="32"/>
          <w:szCs w:val="32"/>
        </w:rPr>
        <w:t>”</w:t>
      </w:r>
      <w:r>
        <w:rPr>
          <w:sz w:val="32"/>
          <w:szCs w:val="32"/>
        </w:rPr>
        <w:t>监管的意见》（鲁政发〔2019〕10号），实现</w:t>
      </w:r>
      <w:r>
        <w:rPr>
          <w:rFonts w:hint="eastAsia"/>
          <w:sz w:val="32"/>
          <w:szCs w:val="32"/>
        </w:rPr>
        <w:t>“</w:t>
      </w:r>
      <w:r>
        <w:rPr>
          <w:sz w:val="32"/>
          <w:szCs w:val="32"/>
        </w:rPr>
        <w:t>双随机、一公开</w:t>
      </w:r>
      <w:r>
        <w:rPr>
          <w:rFonts w:hint="eastAsia"/>
          <w:sz w:val="32"/>
          <w:szCs w:val="32"/>
        </w:rPr>
        <w:t>”</w:t>
      </w:r>
      <w:r>
        <w:rPr>
          <w:sz w:val="32"/>
          <w:szCs w:val="32"/>
        </w:rPr>
        <w:t>机制在市场监管领域的全覆盖，结合我区实际，制定本实施意见。</w:t>
      </w:r>
    </w:p>
    <w:p>
      <w:pPr>
        <w:ind w:firstLine="638" w:firstLineChars="202"/>
        <w:rPr>
          <w:rFonts w:ascii="黑体" w:hAnsi="黑体" w:eastAsia="黑体" w:cs="黑体"/>
        </w:rPr>
      </w:pPr>
      <w:r>
        <w:rPr>
          <w:rFonts w:hint="eastAsia" w:ascii="黑体" w:hAnsi="黑体" w:eastAsia="黑体" w:cs="黑体"/>
        </w:rPr>
        <w:t>一、工作目标</w:t>
      </w:r>
    </w:p>
    <w:p>
      <w:pPr>
        <w:pStyle w:val="14"/>
        <w:spacing w:beforeAutospacing="0" w:afterAutospacing="0"/>
        <w:ind w:firstLine="638" w:firstLineChars="202"/>
        <w:jc w:val="both"/>
        <w:rPr>
          <w:sz w:val="32"/>
          <w:szCs w:val="32"/>
        </w:rPr>
      </w:pPr>
      <w:r>
        <w:rPr>
          <w:sz w:val="32"/>
          <w:szCs w:val="32"/>
        </w:rPr>
        <w:t>2020年7月底前，市场监管领域区相关部门建立完善</w:t>
      </w:r>
      <w:r>
        <w:rPr>
          <w:rFonts w:hint="eastAsia"/>
          <w:sz w:val="32"/>
          <w:szCs w:val="32"/>
        </w:rPr>
        <w:t>“</w:t>
      </w:r>
      <w:r>
        <w:rPr>
          <w:sz w:val="32"/>
          <w:szCs w:val="32"/>
        </w:rPr>
        <w:t>双随机、一公开</w:t>
      </w:r>
      <w:r>
        <w:rPr>
          <w:rFonts w:hint="eastAsia"/>
          <w:sz w:val="32"/>
          <w:szCs w:val="32"/>
        </w:rPr>
        <w:t>”</w:t>
      </w:r>
      <w:r>
        <w:rPr>
          <w:sz w:val="32"/>
          <w:szCs w:val="32"/>
        </w:rPr>
        <w:t>监管工作机制，</w:t>
      </w:r>
      <w:r>
        <w:rPr>
          <w:rFonts w:hint="eastAsia"/>
          <w:sz w:val="32"/>
          <w:szCs w:val="32"/>
        </w:rPr>
        <w:t>“</w:t>
      </w:r>
      <w:r>
        <w:rPr>
          <w:sz w:val="32"/>
          <w:szCs w:val="32"/>
        </w:rPr>
        <w:t>双随机、一公开</w:t>
      </w:r>
      <w:r>
        <w:rPr>
          <w:rFonts w:hint="eastAsia"/>
          <w:sz w:val="32"/>
          <w:szCs w:val="32"/>
        </w:rPr>
        <w:t>”</w:t>
      </w:r>
      <w:r>
        <w:rPr>
          <w:sz w:val="32"/>
          <w:szCs w:val="32"/>
        </w:rPr>
        <w:t>监管工作联席会议成立并运行。2020年12月底前，市场监管领域各级相关部门在市场监管领域实现联合</w:t>
      </w:r>
      <w:r>
        <w:rPr>
          <w:rFonts w:hint="eastAsia"/>
          <w:sz w:val="32"/>
          <w:szCs w:val="32"/>
        </w:rPr>
        <w:t>“</w:t>
      </w:r>
      <w:r>
        <w:rPr>
          <w:sz w:val="32"/>
          <w:szCs w:val="32"/>
        </w:rPr>
        <w:t>双随机、一公开</w:t>
      </w:r>
      <w:r>
        <w:rPr>
          <w:rFonts w:hint="eastAsia"/>
          <w:sz w:val="32"/>
          <w:szCs w:val="32"/>
        </w:rPr>
        <w:t>”</w:t>
      </w:r>
      <w:r>
        <w:rPr>
          <w:sz w:val="32"/>
          <w:szCs w:val="32"/>
        </w:rPr>
        <w:t>监管常态化；建立</w:t>
      </w:r>
      <w:r>
        <w:rPr>
          <w:rFonts w:hint="eastAsia"/>
          <w:sz w:val="32"/>
          <w:szCs w:val="32"/>
        </w:rPr>
        <w:t>“</w:t>
      </w:r>
      <w:r>
        <w:rPr>
          <w:sz w:val="32"/>
          <w:szCs w:val="32"/>
        </w:rPr>
        <w:t>双随机、一公开</w:t>
      </w:r>
      <w:r>
        <w:rPr>
          <w:rFonts w:hint="eastAsia"/>
          <w:sz w:val="32"/>
          <w:szCs w:val="32"/>
        </w:rPr>
        <w:t>”</w:t>
      </w:r>
      <w:r>
        <w:rPr>
          <w:sz w:val="32"/>
          <w:szCs w:val="32"/>
        </w:rPr>
        <w:t>抽查结果部门间共享交换和互认互用机制。</w:t>
      </w:r>
    </w:p>
    <w:p>
      <w:pPr>
        <w:pStyle w:val="14"/>
        <w:spacing w:beforeAutospacing="0" w:afterAutospacing="0"/>
        <w:ind w:firstLine="638" w:firstLineChars="202"/>
        <w:jc w:val="both"/>
        <w:rPr>
          <w:sz w:val="32"/>
          <w:szCs w:val="32"/>
        </w:rPr>
      </w:pPr>
      <w:r>
        <w:rPr>
          <w:sz w:val="32"/>
          <w:szCs w:val="32"/>
        </w:rPr>
        <w:t>2022年年底前，实现综合监管、智慧监管，以信用监管为基础的新型市场监管机制更加完善。</w:t>
      </w:r>
    </w:p>
    <w:p>
      <w:pPr>
        <w:pStyle w:val="14"/>
        <w:spacing w:beforeAutospacing="0" w:afterAutospacing="0"/>
        <w:ind w:firstLine="638" w:firstLineChars="202"/>
        <w:jc w:val="both"/>
        <w:rPr>
          <w:rFonts w:eastAsia="黑体"/>
          <w:bCs/>
          <w:sz w:val="32"/>
          <w:szCs w:val="32"/>
        </w:rPr>
      </w:pPr>
      <w:r>
        <w:rPr>
          <w:rStyle w:val="17"/>
          <w:rFonts w:eastAsia="黑体"/>
          <w:b w:val="0"/>
          <w:bCs/>
          <w:sz w:val="32"/>
          <w:szCs w:val="32"/>
        </w:rPr>
        <w:t>二、重点任务</w:t>
      </w:r>
    </w:p>
    <w:p>
      <w:pPr>
        <w:pStyle w:val="14"/>
        <w:spacing w:beforeAutospacing="0" w:afterAutospacing="0"/>
        <w:ind w:firstLine="638" w:firstLineChars="202"/>
        <w:jc w:val="both"/>
        <w:rPr>
          <w:sz w:val="32"/>
          <w:szCs w:val="32"/>
        </w:rPr>
      </w:pPr>
      <w:r>
        <w:rPr>
          <w:rFonts w:hint="eastAsia" w:ascii="楷体_GB2312" w:hAnsi="楷体_GB2312" w:eastAsia="楷体_GB2312" w:cs="楷体_GB2312"/>
          <w:sz w:val="32"/>
          <w:szCs w:val="32"/>
        </w:rPr>
        <w:t>（一）做好省工作平台应用。</w:t>
      </w:r>
      <w:r>
        <w:rPr>
          <w:sz w:val="32"/>
          <w:szCs w:val="32"/>
        </w:rPr>
        <w:t>全区各有关部门要统一使用省政府</w:t>
      </w:r>
      <w:r>
        <w:rPr>
          <w:rFonts w:hint="eastAsia"/>
          <w:sz w:val="32"/>
          <w:szCs w:val="32"/>
        </w:rPr>
        <w:t>“</w:t>
      </w:r>
      <w:r>
        <w:rPr>
          <w:sz w:val="32"/>
          <w:szCs w:val="32"/>
        </w:rPr>
        <w:t>双随机、一公开</w:t>
      </w:r>
      <w:r>
        <w:rPr>
          <w:rFonts w:hint="eastAsia"/>
          <w:sz w:val="32"/>
          <w:szCs w:val="32"/>
        </w:rPr>
        <w:t>”</w:t>
      </w:r>
      <w:r>
        <w:rPr>
          <w:sz w:val="32"/>
          <w:szCs w:val="32"/>
        </w:rPr>
        <w:t>监管平台（以下简称省工作平台），开展市场监管领域</w:t>
      </w:r>
      <w:r>
        <w:rPr>
          <w:rFonts w:hint="eastAsia"/>
          <w:sz w:val="32"/>
          <w:szCs w:val="32"/>
        </w:rPr>
        <w:t>“</w:t>
      </w:r>
      <w:r>
        <w:rPr>
          <w:sz w:val="32"/>
          <w:szCs w:val="32"/>
        </w:rPr>
        <w:t>双随机、一公开</w:t>
      </w:r>
      <w:r>
        <w:rPr>
          <w:rFonts w:hint="eastAsia"/>
          <w:sz w:val="32"/>
          <w:szCs w:val="32"/>
        </w:rPr>
        <w:t>”</w:t>
      </w:r>
      <w:r>
        <w:rPr>
          <w:sz w:val="32"/>
          <w:szCs w:val="32"/>
        </w:rPr>
        <w:t>监管工作。市场监管领域各相关部门依托省工作平台，进一步整合流程，进行部门内部和部门联合</w:t>
      </w:r>
      <w:r>
        <w:rPr>
          <w:rFonts w:hint="eastAsia"/>
          <w:sz w:val="32"/>
          <w:szCs w:val="32"/>
        </w:rPr>
        <w:t>“</w:t>
      </w:r>
      <w:r>
        <w:rPr>
          <w:sz w:val="32"/>
          <w:szCs w:val="32"/>
        </w:rPr>
        <w:t>双随机、一公开</w:t>
      </w:r>
      <w:r>
        <w:rPr>
          <w:rFonts w:hint="eastAsia"/>
          <w:sz w:val="32"/>
          <w:szCs w:val="32"/>
        </w:rPr>
        <w:t>”</w:t>
      </w:r>
      <w:r>
        <w:rPr>
          <w:sz w:val="32"/>
          <w:szCs w:val="32"/>
        </w:rPr>
        <w:t>抽查。已建成使用类似工作平台的单位，由各单位结合各自省级单位做好与省工作平台的衔接及相关功能对接工作，实现抽查检查结果互联共享。</w:t>
      </w:r>
    </w:p>
    <w:p>
      <w:pPr>
        <w:pStyle w:val="14"/>
        <w:spacing w:beforeAutospacing="0" w:afterAutospacing="0"/>
        <w:ind w:firstLine="638" w:firstLineChars="202"/>
        <w:jc w:val="both"/>
        <w:rPr>
          <w:sz w:val="32"/>
          <w:szCs w:val="32"/>
        </w:rPr>
      </w:pPr>
      <w:r>
        <w:rPr>
          <w:rFonts w:ascii="楷体_GB2312" w:hAnsi="楷体_GB2312" w:eastAsia="楷体_GB2312" w:cs="楷体_GB2312"/>
          <w:sz w:val="32"/>
          <w:szCs w:val="32"/>
        </w:rPr>
        <w:t>（二）严格抽查事项清单管理。</w:t>
      </w:r>
      <w:r>
        <w:rPr>
          <w:sz w:val="32"/>
          <w:szCs w:val="32"/>
        </w:rPr>
        <w:t>各部门根据法律法规规章的规定和全省统一制定的市场监管领域随机抽查事项清单，按照实施层级，导入省工作平台，及时通过本单位门户网站向社会公开，并实行动态更新。随机抽查事项分为重点检查事项和一般检查事项。各有关部门要严格按省有关部门制定的随机抽查事项清单实施抽查，不得在清单之外重复设立检查，不得擅自增加或缩减抽查事项。</w:t>
      </w:r>
    </w:p>
    <w:p>
      <w:pPr>
        <w:pStyle w:val="14"/>
        <w:spacing w:beforeAutospacing="0" w:afterAutospacing="0"/>
        <w:ind w:firstLine="638" w:firstLineChars="202"/>
        <w:jc w:val="both"/>
        <w:rPr>
          <w:sz w:val="32"/>
          <w:szCs w:val="32"/>
        </w:rPr>
      </w:pPr>
      <w:r>
        <w:rPr>
          <w:rFonts w:ascii="楷体_GB2312" w:hAnsi="楷体_GB2312" w:eastAsia="楷体_GB2312" w:cs="楷体_GB2312"/>
          <w:sz w:val="32"/>
          <w:szCs w:val="32"/>
        </w:rPr>
        <w:t>（三）建立健全随机抽查</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两库</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w:t>
      </w:r>
      <w:r>
        <w:rPr>
          <w:sz w:val="32"/>
          <w:szCs w:val="32"/>
        </w:rPr>
        <w:t>按照省有关部门制定的建设标准，各有关部门建立健全部门抽查事项清单、职责相适应的随机抽查检查对象名录库和执法检查人员名录库（统称</w:t>
      </w:r>
      <w:r>
        <w:rPr>
          <w:rFonts w:hint="eastAsia"/>
          <w:sz w:val="32"/>
          <w:szCs w:val="32"/>
        </w:rPr>
        <w:t>“</w:t>
      </w:r>
      <w:r>
        <w:rPr>
          <w:sz w:val="32"/>
          <w:szCs w:val="32"/>
        </w:rPr>
        <w:t>两库</w:t>
      </w:r>
      <w:r>
        <w:rPr>
          <w:rFonts w:hint="eastAsia"/>
          <w:sz w:val="32"/>
          <w:szCs w:val="32"/>
        </w:rPr>
        <w:t>”</w:t>
      </w:r>
      <w:r>
        <w:rPr>
          <w:sz w:val="32"/>
          <w:szCs w:val="32"/>
        </w:rPr>
        <w:t>），并实施动态管理。检查对象涉及多领域监管业务的部门，应建立相应的检查对象名录分库。市场监管领域各相关部门将本部门的行政执法类公务员、具有行政执法资格的工作人员和从事日常监管工作的人员纳入执法检查人员名录库。对特定领域的抽查，可通过政府购买服务等方式辅助开展。</w:t>
      </w:r>
    </w:p>
    <w:p>
      <w:pPr>
        <w:pStyle w:val="14"/>
        <w:spacing w:beforeAutospacing="0" w:afterAutospacing="0"/>
        <w:ind w:firstLine="638" w:firstLineChars="202"/>
        <w:jc w:val="both"/>
        <w:rPr>
          <w:sz w:val="32"/>
          <w:szCs w:val="32"/>
        </w:rPr>
      </w:pPr>
      <w:r>
        <w:rPr>
          <w:rFonts w:ascii="楷体_GB2312" w:hAnsi="楷体_GB2312" w:eastAsia="楷体_GB2312" w:cs="楷体_GB2312"/>
          <w:sz w:val="32"/>
          <w:szCs w:val="32"/>
        </w:rPr>
        <w:t>（四）科学制定抽查计划。</w:t>
      </w:r>
      <w:r>
        <w:rPr>
          <w:sz w:val="32"/>
          <w:szCs w:val="32"/>
        </w:rPr>
        <w:t>区政府统筹制定本辖区部门联合抽查年度计划，坚持问题导向，以实现执法效果和经济社会效益最大化为目标，充分考虑检查对象的耦合性、机构设置的对应性、监管职责的关联性，科学确定部门联合随机抽查的事项和发起、参与部门。市场监管领域各相关部门结合监管实际，按照省相关部门制定的本系统抽查工作细则和工作指引，本着统一组织、均衡发展、全面覆盖的原则科学制定部门年度抽查工作计划，每年1月底前报区联合会议办公室备案，并通过门户网站、公示系统（山东）向社会公开。年度抽查计划可根据工作实际动态调整。</w:t>
      </w:r>
    </w:p>
    <w:p>
      <w:pPr>
        <w:pStyle w:val="14"/>
        <w:spacing w:beforeAutospacing="0" w:afterAutospacing="0"/>
        <w:ind w:firstLine="638" w:firstLineChars="202"/>
        <w:jc w:val="both"/>
        <w:rPr>
          <w:sz w:val="32"/>
          <w:szCs w:val="32"/>
        </w:rPr>
      </w:pPr>
      <w:r>
        <w:rPr>
          <w:rFonts w:hint="eastAsia" w:ascii="楷体_GB2312" w:hAnsi="楷体_GB2312" w:eastAsia="楷体_GB2312" w:cs="楷体_GB2312"/>
          <w:sz w:val="32"/>
          <w:szCs w:val="32"/>
        </w:rPr>
        <w:t>（五）完善抽查检查实施机制。</w:t>
      </w:r>
      <w:r>
        <w:rPr>
          <w:sz w:val="32"/>
          <w:szCs w:val="32"/>
        </w:rPr>
        <w:t>区政府组织实施本辖区部门联合</w:t>
      </w:r>
      <w:r>
        <w:rPr>
          <w:rFonts w:hint="eastAsia"/>
          <w:sz w:val="32"/>
          <w:szCs w:val="32"/>
        </w:rPr>
        <w:t>“</w:t>
      </w:r>
      <w:r>
        <w:rPr>
          <w:sz w:val="32"/>
          <w:szCs w:val="32"/>
        </w:rPr>
        <w:t>双随机、一公开</w:t>
      </w:r>
      <w:r>
        <w:rPr>
          <w:rFonts w:hint="eastAsia"/>
          <w:sz w:val="32"/>
          <w:szCs w:val="32"/>
        </w:rPr>
        <w:t>”</w:t>
      </w:r>
      <w:r>
        <w:rPr>
          <w:sz w:val="32"/>
          <w:szCs w:val="32"/>
        </w:rPr>
        <w:t>监管工作。发起部门作为牵头部门，具体负责组织实施。牵头部门根据会商确定的检查对象范围和参与部门，通过公开、公正的方式随机抽取检查对象，随机匹配执法检查人员。联合抽查可采取综合联查、风险分类联查、专项整治联查</w:t>
      </w:r>
      <w:r>
        <w:rPr>
          <w:rFonts w:hint="eastAsia"/>
          <w:sz w:val="32"/>
          <w:szCs w:val="32"/>
        </w:rPr>
        <w:t>，</w:t>
      </w:r>
      <w:r>
        <w:rPr>
          <w:sz w:val="32"/>
          <w:szCs w:val="32"/>
        </w:rPr>
        <w:t>方式可采取实地核查、书面检查、网络监测等。抽查涉及专业领域的，可委托第三方开展工作，或依法采用相关机构作出的鉴定结论。有条件的部门可开发抽查移动端APP，配置智能移动执法装备，实现执法全过程记录。</w:t>
      </w:r>
    </w:p>
    <w:p>
      <w:pPr>
        <w:pStyle w:val="14"/>
        <w:spacing w:beforeAutospacing="0" w:afterAutospacing="0"/>
        <w:ind w:firstLine="638" w:firstLineChars="202"/>
        <w:jc w:val="both"/>
        <w:rPr>
          <w:sz w:val="32"/>
          <w:szCs w:val="32"/>
        </w:rPr>
      </w:pPr>
      <w:r>
        <w:rPr>
          <w:rFonts w:hint="eastAsia" w:ascii="楷体_GB2312" w:hAnsi="楷体_GB2312" w:eastAsia="楷体_GB2312" w:cs="楷体_GB2312"/>
          <w:sz w:val="32"/>
          <w:szCs w:val="32"/>
        </w:rPr>
        <w:t>（六）强化抽查检查结果公示运用。</w:t>
      </w:r>
      <w:r>
        <w:rPr>
          <w:sz w:val="32"/>
          <w:szCs w:val="32"/>
        </w:rPr>
        <w:t>市场监管领域各相关部门要按照</w:t>
      </w:r>
      <w:r>
        <w:rPr>
          <w:rFonts w:hint="eastAsia"/>
          <w:sz w:val="32"/>
          <w:szCs w:val="32"/>
        </w:rPr>
        <w:t>“</w:t>
      </w:r>
      <w:r>
        <w:rPr>
          <w:sz w:val="32"/>
          <w:szCs w:val="32"/>
        </w:rPr>
        <w:t>谁检查、谁录入、谁公开</w:t>
      </w:r>
      <w:r>
        <w:rPr>
          <w:rFonts w:hint="eastAsia"/>
          <w:sz w:val="32"/>
          <w:szCs w:val="32"/>
        </w:rPr>
        <w:t>”</w:t>
      </w:r>
      <w:r>
        <w:rPr>
          <w:sz w:val="32"/>
          <w:szCs w:val="32"/>
        </w:rPr>
        <w:t>的原则，将抽查检查结果录入或导入省工作平台，由省工作平台推送至公示系统（山东）公示。对抽查发现的问题，根据法律法规和部门职责分工，按照</w:t>
      </w:r>
      <w:r>
        <w:rPr>
          <w:rFonts w:hint="eastAsia"/>
          <w:sz w:val="32"/>
          <w:szCs w:val="32"/>
        </w:rPr>
        <w:t>“</w:t>
      </w:r>
      <w:r>
        <w:rPr>
          <w:sz w:val="32"/>
          <w:szCs w:val="32"/>
        </w:rPr>
        <w:t>谁审批、谁监管，谁主管、谁监管</w:t>
      </w:r>
      <w:r>
        <w:rPr>
          <w:rFonts w:hint="eastAsia"/>
          <w:sz w:val="32"/>
          <w:szCs w:val="32"/>
        </w:rPr>
        <w:t>”</w:t>
      </w:r>
      <w:r>
        <w:rPr>
          <w:sz w:val="32"/>
          <w:szCs w:val="32"/>
        </w:rPr>
        <w:t>的原则做好后续监管衔接</w:t>
      </w:r>
      <w:r>
        <w:rPr>
          <w:rFonts w:hint="eastAsia"/>
          <w:sz w:val="32"/>
          <w:szCs w:val="32"/>
        </w:rPr>
        <w:t>，</w:t>
      </w:r>
      <w:r>
        <w:rPr>
          <w:sz w:val="32"/>
          <w:szCs w:val="32"/>
        </w:rPr>
        <w:t>依法加大惩处力度，涉嫌犯罪的依法移送司法机关。通过公示系统（山东）协同监管平台，实现抽查检查结果部门间互认共享，促进</w:t>
      </w:r>
      <w:r>
        <w:rPr>
          <w:rFonts w:hint="eastAsia"/>
          <w:sz w:val="32"/>
          <w:szCs w:val="32"/>
        </w:rPr>
        <w:t>“</w:t>
      </w:r>
      <w:r>
        <w:rPr>
          <w:sz w:val="32"/>
          <w:szCs w:val="32"/>
        </w:rPr>
        <w:t>双随机、一公开</w:t>
      </w:r>
      <w:r>
        <w:rPr>
          <w:rFonts w:hint="eastAsia"/>
          <w:sz w:val="32"/>
          <w:szCs w:val="32"/>
        </w:rPr>
        <w:t>”</w:t>
      </w:r>
      <w:r>
        <w:rPr>
          <w:sz w:val="32"/>
          <w:szCs w:val="32"/>
        </w:rPr>
        <w:t>监管与信用监管的有效衔接，构筑</w:t>
      </w:r>
      <w:r>
        <w:rPr>
          <w:rFonts w:hint="eastAsia"/>
          <w:sz w:val="32"/>
          <w:szCs w:val="32"/>
        </w:rPr>
        <w:t>“</w:t>
      </w:r>
      <w:r>
        <w:rPr>
          <w:sz w:val="32"/>
          <w:szCs w:val="32"/>
        </w:rPr>
        <w:t>守信联合激励、失信联合惩戒</w:t>
      </w:r>
      <w:r>
        <w:rPr>
          <w:rFonts w:hint="eastAsia"/>
          <w:sz w:val="32"/>
          <w:szCs w:val="32"/>
        </w:rPr>
        <w:t>”</w:t>
      </w:r>
      <w:r>
        <w:rPr>
          <w:sz w:val="32"/>
          <w:szCs w:val="32"/>
        </w:rPr>
        <w:t>的社会共治格局。强化抽查检查结果分析利用，探索信用风险分类管理，提升企业信用风险预测预警和动态监测能力。根据风险等级采取差异化监管，提高监管效能。鼓励创新，探索开展包容审慎监管，既大力支持新经济发展，又防控可能引发的风险。鼓励建立市场监管领域轻微违法违规经营行为免罚清单。</w:t>
      </w:r>
    </w:p>
    <w:p>
      <w:pPr>
        <w:pStyle w:val="14"/>
        <w:spacing w:beforeAutospacing="0" w:afterAutospacing="0"/>
        <w:ind w:firstLine="638" w:firstLineChars="202"/>
        <w:jc w:val="both"/>
        <w:rPr>
          <w:sz w:val="32"/>
          <w:szCs w:val="32"/>
        </w:rPr>
      </w:pPr>
      <w:r>
        <w:rPr>
          <w:rFonts w:ascii="楷体_GB2312" w:hAnsi="楷体_GB2312" w:eastAsia="楷体_GB2312" w:cs="楷体_GB2312"/>
          <w:sz w:val="32"/>
          <w:szCs w:val="32"/>
        </w:rPr>
        <w:t>（七）健全风险防控机制。</w:t>
      </w:r>
      <w:r>
        <w:rPr>
          <w:sz w:val="32"/>
          <w:szCs w:val="32"/>
        </w:rPr>
        <w:t>市场监管领域各相关部门对通过投诉举报、转办交办、数据监测等发现的违法违规个案线索，要及时实施检查、处置。对通过上述渠道发现的普遍性问题和市场秩序存在的突出问题，通过</w:t>
      </w:r>
      <w:r>
        <w:rPr>
          <w:rFonts w:hint="eastAsia"/>
          <w:sz w:val="32"/>
          <w:szCs w:val="32"/>
        </w:rPr>
        <w:t>“</w:t>
      </w:r>
      <w:r>
        <w:rPr>
          <w:sz w:val="32"/>
          <w:szCs w:val="32"/>
        </w:rPr>
        <w:t>双随机、一公开</w:t>
      </w:r>
      <w:r>
        <w:rPr>
          <w:rFonts w:hint="eastAsia"/>
          <w:sz w:val="32"/>
          <w:szCs w:val="32"/>
        </w:rPr>
        <w:t>”</w:t>
      </w:r>
      <w:r>
        <w:rPr>
          <w:sz w:val="32"/>
          <w:szCs w:val="32"/>
        </w:rPr>
        <w:t>方式，对所涉抽查事项开展针对性的专项检查。对无证无照经营的，按照《无证无照经营查处办法》等法律法规的规定予以查处。</w:t>
      </w:r>
    </w:p>
    <w:p>
      <w:pPr>
        <w:ind w:firstLine="638" w:firstLineChars="202"/>
        <w:rPr>
          <w:rFonts w:eastAsia="黑体" w:cs="Times New Roman"/>
          <w:szCs w:val="32"/>
        </w:rPr>
      </w:pPr>
      <w:r>
        <w:rPr>
          <w:rFonts w:eastAsia="黑体" w:cs="Times New Roman"/>
          <w:szCs w:val="32"/>
        </w:rPr>
        <w:t>三、保障措施</w:t>
      </w:r>
    </w:p>
    <w:p>
      <w:pPr>
        <w:pStyle w:val="14"/>
        <w:spacing w:beforeAutospacing="0" w:afterAutospacing="0"/>
        <w:ind w:firstLine="638" w:firstLineChars="202"/>
        <w:jc w:val="both"/>
        <w:rPr>
          <w:sz w:val="32"/>
          <w:szCs w:val="32"/>
        </w:rPr>
      </w:pPr>
      <w:r>
        <w:rPr>
          <w:rFonts w:ascii="楷体_GB2312" w:hAnsi="楷体_GB2312" w:eastAsia="楷体_GB2312" w:cs="楷体_GB2312"/>
          <w:sz w:val="32"/>
          <w:szCs w:val="32"/>
        </w:rPr>
        <w:t>（一）加强组织领导。</w:t>
      </w:r>
      <w:r>
        <w:rPr>
          <w:sz w:val="32"/>
          <w:szCs w:val="32"/>
        </w:rPr>
        <w:t>成立区</w:t>
      </w:r>
      <w:r>
        <w:rPr>
          <w:rFonts w:hint="eastAsia"/>
          <w:sz w:val="32"/>
          <w:szCs w:val="32"/>
        </w:rPr>
        <w:t>“</w:t>
      </w:r>
      <w:r>
        <w:rPr>
          <w:sz w:val="32"/>
          <w:szCs w:val="32"/>
        </w:rPr>
        <w:t>双随机、一公开</w:t>
      </w:r>
      <w:r>
        <w:rPr>
          <w:rFonts w:hint="eastAsia"/>
          <w:sz w:val="32"/>
          <w:szCs w:val="32"/>
        </w:rPr>
        <w:t>”</w:t>
      </w:r>
      <w:r>
        <w:rPr>
          <w:sz w:val="32"/>
          <w:szCs w:val="32"/>
        </w:rPr>
        <w:t>监管工作联席会议，由</w:t>
      </w:r>
      <w:r>
        <w:rPr>
          <w:rFonts w:hint="eastAsia"/>
          <w:sz w:val="32"/>
          <w:szCs w:val="32"/>
        </w:rPr>
        <w:t>区委常委、副区长马常斌同志任</w:t>
      </w:r>
      <w:r>
        <w:rPr>
          <w:sz w:val="32"/>
          <w:szCs w:val="32"/>
        </w:rPr>
        <w:t>总召集人、分管副区长</w:t>
      </w:r>
      <w:r>
        <w:rPr>
          <w:rFonts w:hint="eastAsia"/>
          <w:sz w:val="32"/>
          <w:szCs w:val="32"/>
        </w:rPr>
        <w:t>杨艳玲同志任</w:t>
      </w:r>
      <w:r>
        <w:rPr>
          <w:sz w:val="32"/>
          <w:szCs w:val="32"/>
        </w:rPr>
        <w:t>召集人，区发改</w:t>
      </w:r>
      <w:r>
        <w:rPr>
          <w:rFonts w:hint="eastAsia"/>
          <w:sz w:val="32"/>
          <w:szCs w:val="32"/>
        </w:rPr>
        <w:t>局</w:t>
      </w:r>
      <w:r>
        <w:rPr>
          <w:sz w:val="32"/>
          <w:szCs w:val="32"/>
        </w:rPr>
        <w:t>、区教育局等16个市场监管领域相关部门作为成员单位，联席会议办公室设在区市场监管局，区市场监管局主要负责同志兼任办公室主任。区市场监管局要发挥牵头作用，加强统筹协调，会同区有关部门共同推进，定期调度通报工作进展情况，年底专题上报区政府。区有关部门要按照</w:t>
      </w:r>
      <w:r>
        <w:rPr>
          <w:rFonts w:hint="eastAsia"/>
          <w:sz w:val="32"/>
          <w:szCs w:val="32"/>
        </w:rPr>
        <w:t>“</w:t>
      </w:r>
      <w:r>
        <w:rPr>
          <w:sz w:val="32"/>
          <w:szCs w:val="32"/>
        </w:rPr>
        <w:t>系统抓、抓系统</w:t>
      </w:r>
      <w:r>
        <w:rPr>
          <w:rFonts w:hint="eastAsia"/>
          <w:sz w:val="32"/>
          <w:szCs w:val="32"/>
        </w:rPr>
        <w:t>”</w:t>
      </w:r>
      <w:r>
        <w:rPr>
          <w:sz w:val="32"/>
          <w:szCs w:val="32"/>
        </w:rPr>
        <w:t>的要求，落实</w:t>
      </w:r>
      <w:r>
        <w:rPr>
          <w:rFonts w:hint="eastAsia"/>
          <w:sz w:val="32"/>
          <w:szCs w:val="32"/>
        </w:rPr>
        <w:t>“</w:t>
      </w:r>
      <w:r>
        <w:rPr>
          <w:sz w:val="32"/>
          <w:szCs w:val="32"/>
        </w:rPr>
        <w:t>一把手</w:t>
      </w:r>
      <w:r>
        <w:rPr>
          <w:rFonts w:hint="eastAsia"/>
          <w:sz w:val="32"/>
          <w:szCs w:val="32"/>
        </w:rPr>
        <w:t>”</w:t>
      </w:r>
      <w:r>
        <w:rPr>
          <w:sz w:val="32"/>
          <w:szCs w:val="32"/>
        </w:rPr>
        <w:t>责任制，切实做好本部门、本系统</w:t>
      </w:r>
      <w:r>
        <w:rPr>
          <w:rFonts w:hint="eastAsia"/>
          <w:sz w:val="32"/>
          <w:szCs w:val="32"/>
        </w:rPr>
        <w:t>“</w:t>
      </w:r>
      <w:r>
        <w:rPr>
          <w:sz w:val="32"/>
          <w:szCs w:val="32"/>
        </w:rPr>
        <w:t>双随机、一公开</w:t>
      </w:r>
      <w:r>
        <w:rPr>
          <w:rFonts w:hint="eastAsia"/>
          <w:sz w:val="32"/>
          <w:szCs w:val="32"/>
        </w:rPr>
        <w:t>”</w:t>
      </w:r>
      <w:r>
        <w:rPr>
          <w:sz w:val="32"/>
          <w:szCs w:val="32"/>
        </w:rPr>
        <w:t>各项工作。区政府各成员部门要完善工作机制，加强经费保障，统筹执法资源，提高装备水平，强化督查考核。</w:t>
      </w:r>
    </w:p>
    <w:p>
      <w:pPr>
        <w:pStyle w:val="14"/>
        <w:spacing w:beforeAutospacing="0" w:afterAutospacing="0"/>
        <w:ind w:firstLine="638" w:firstLineChars="202"/>
        <w:jc w:val="both"/>
        <w:rPr>
          <w:sz w:val="32"/>
          <w:szCs w:val="32"/>
        </w:rPr>
      </w:pPr>
      <w:r>
        <w:rPr>
          <w:rFonts w:ascii="楷体_GB2312" w:hAnsi="楷体_GB2312" w:eastAsia="楷体_GB2312" w:cs="楷体_GB2312"/>
          <w:sz w:val="32"/>
          <w:szCs w:val="32"/>
        </w:rPr>
        <w:t>（二）严格责任落实。</w:t>
      </w:r>
      <w:r>
        <w:rPr>
          <w:sz w:val="32"/>
          <w:szCs w:val="32"/>
        </w:rPr>
        <w:t>进一步增强责任意识，对未履行、不当履行或违法履行</w:t>
      </w:r>
      <w:r>
        <w:rPr>
          <w:rFonts w:hint="eastAsia"/>
          <w:sz w:val="32"/>
          <w:szCs w:val="32"/>
        </w:rPr>
        <w:t>“</w:t>
      </w:r>
      <w:r>
        <w:rPr>
          <w:sz w:val="32"/>
          <w:szCs w:val="32"/>
        </w:rPr>
        <w:t>双随机、一公开</w:t>
      </w:r>
      <w:r>
        <w:rPr>
          <w:rFonts w:hint="eastAsia"/>
          <w:sz w:val="32"/>
          <w:szCs w:val="32"/>
        </w:rPr>
        <w:t>”</w:t>
      </w:r>
      <w:r>
        <w:rPr>
          <w:sz w:val="32"/>
          <w:szCs w:val="32"/>
        </w:rPr>
        <w:t>监管职责的，依法依规严肃处理；涉嫌违法犯罪的，移送有关机关依法处理。坚持</w:t>
      </w:r>
      <w:r>
        <w:rPr>
          <w:rFonts w:hint="eastAsia"/>
          <w:sz w:val="32"/>
          <w:szCs w:val="32"/>
        </w:rPr>
        <w:t>“</w:t>
      </w:r>
      <w:r>
        <w:rPr>
          <w:sz w:val="32"/>
          <w:szCs w:val="32"/>
        </w:rPr>
        <w:t>尽职照单免责、失职照单问责</w:t>
      </w:r>
      <w:r>
        <w:rPr>
          <w:rFonts w:hint="eastAsia"/>
          <w:sz w:val="32"/>
          <w:szCs w:val="32"/>
        </w:rPr>
        <w:t>”</w:t>
      </w:r>
      <w:r>
        <w:rPr>
          <w:sz w:val="32"/>
          <w:szCs w:val="32"/>
        </w:rPr>
        <w:t>的原则，市场监管领域各相关部门及其执法检查人员在</w:t>
      </w:r>
      <w:r>
        <w:rPr>
          <w:rFonts w:hint="eastAsia"/>
          <w:sz w:val="32"/>
          <w:szCs w:val="32"/>
        </w:rPr>
        <w:t>“</w:t>
      </w:r>
      <w:r>
        <w:rPr>
          <w:sz w:val="32"/>
          <w:szCs w:val="32"/>
        </w:rPr>
        <w:t>双随机、一公开</w:t>
      </w:r>
      <w:r>
        <w:rPr>
          <w:rFonts w:hint="eastAsia"/>
          <w:sz w:val="32"/>
          <w:szCs w:val="32"/>
        </w:rPr>
        <w:t>”</w:t>
      </w:r>
      <w:r>
        <w:rPr>
          <w:sz w:val="32"/>
          <w:szCs w:val="32"/>
        </w:rPr>
        <w:t>监管中存在下列情形之一、相关市场主体出现问题的，可以免除行政责任：按照法律法规规章规定和抽查工作计划安排，已履行抽查检查职责的；因现有专业技术手段限制不能发现所存在问题的；检查对象发生事故，性质上与执法检查人员的抽查检查不存在因果关系的；因被委托进行检查的专业机构出具虚假报告等，导致错误判定或者处理的；其他依法依规不应当追究责任的。有下列情形之一的，应当承担行政责任：未按要求进行抽查检查</w:t>
      </w:r>
      <w:r>
        <w:rPr>
          <w:rFonts w:hint="eastAsia"/>
          <w:sz w:val="32"/>
          <w:szCs w:val="32"/>
        </w:rPr>
        <w:t>，</w:t>
      </w:r>
      <w:r>
        <w:rPr>
          <w:sz w:val="32"/>
          <w:szCs w:val="32"/>
        </w:rPr>
        <w:t>造成不良后果的；未依法及时公示抽查检查结果，造成不良后果的；对抽查检查中发现的涉嫌犯罪案件，未依法移送公安机关处理的；不执行或者拖延执行抽查任务的；抽查检查过程中走过场，搞形式主义的；其他依法依规应当追究责任的。</w:t>
      </w:r>
    </w:p>
    <w:p>
      <w:pPr>
        <w:pStyle w:val="14"/>
        <w:spacing w:beforeAutospacing="0" w:afterAutospacing="0"/>
        <w:ind w:firstLine="638" w:firstLineChars="202"/>
        <w:jc w:val="both"/>
        <w:rPr>
          <w:sz w:val="32"/>
          <w:szCs w:val="32"/>
        </w:rPr>
      </w:pPr>
      <w:r>
        <w:rPr>
          <w:rFonts w:ascii="楷体_GB2312" w:hAnsi="楷体_GB2312" w:eastAsia="楷体_GB2312" w:cs="楷体_GB2312"/>
          <w:sz w:val="32"/>
          <w:szCs w:val="32"/>
        </w:rPr>
        <w:t>（三）加强培训宣传。</w:t>
      </w:r>
      <w:r>
        <w:rPr>
          <w:sz w:val="32"/>
          <w:szCs w:val="32"/>
        </w:rPr>
        <w:t>加强执法人员学习培训，强化联合抽查理念和协同配合意识，不断提高综合执法能力和水平。司法行政部门统筹推进行政执法资格认证、培训考核和换证等工作。加大宣传力度，提升</w:t>
      </w:r>
      <w:r>
        <w:rPr>
          <w:rFonts w:hint="eastAsia"/>
          <w:sz w:val="32"/>
          <w:szCs w:val="32"/>
        </w:rPr>
        <w:t>“</w:t>
      </w:r>
      <w:r>
        <w:rPr>
          <w:sz w:val="32"/>
          <w:szCs w:val="32"/>
        </w:rPr>
        <w:t>双随机、一公开</w:t>
      </w:r>
      <w:r>
        <w:rPr>
          <w:rFonts w:hint="eastAsia"/>
          <w:sz w:val="32"/>
          <w:szCs w:val="32"/>
        </w:rPr>
        <w:t>”</w:t>
      </w:r>
      <w:r>
        <w:rPr>
          <w:sz w:val="32"/>
          <w:szCs w:val="32"/>
        </w:rPr>
        <w:t>监管的社会影响力和公众知晓度，加快形成政府公正监管、企业诚信守法经营、社会公众监督的良好氛围。</w:t>
      </w:r>
    </w:p>
    <w:p>
      <w:pPr>
        <w:pStyle w:val="14"/>
        <w:spacing w:beforeAutospacing="0" w:afterAutospacing="0"/>
        <w:ind w:firstLine="614" w:firstLineChars="202"/>
        <w:jc w:val="both"/>
        <w:rPr>
          <w:spacing w:val="-6"/>
          <w:sz w:val="32"/>
          <w:szCs w:val="32"/>
        </w:rPr>
      </w:pPr>
      <w:r>
        <w:rPr>
          <w:spacing w:val="-6"/>
          <w:sz w:val="32"/>
          <w:szCs w:val="32"/>
        </w:rPr>
        <w:t>各有关部门要根据本实施意见，尽快研究制定具体工作方案。</w:t>
      </w:r>
    </w:p>
    <w:p>
      <w:pPr>
        <w:pStyle w:val="14"/>
        <w:spacing w:beforeAutospacing="0" w:afterAutospacing="0"/>
        <w:ind w:firstLine="638" w:firstLineChars="202"/>
        <w:jc w:val="both"/>
        <w:rPr>
          <w:sz w:val="32"/>
          <w:szCs w:val="32"/>
        </w:rPr>
      </w:pPr>
    </w:p>
    <w:p>
      <w:pPr>
        <w:pStyle w:val="14"/>
        <w:spacing w:beforeAutospacing="0" w:afterAutospacing="0"/>
        <w:ind w:left="1896" w:leftChars="201" w:hanging="1261" w:hangingChars="399"/>
        <w:rPr>
          <w:sz w:val="32"/>
          <w:szCs w:val="32"/>
        </w:rPr>
      </w:pPr>
      <w:r>
        <w:rPr>
          <w:sz w:val="32"/>
          <w:szCs w:val="32"/>
        </w:rPr>
        <w:t>附件：1.菏泽市定陶区</w:t>
      </w:r>
      <w:r>
        <w:rPr>
          <w:rFonts w:hint="eastAsia"/>
          <w:sz w:val="32"/>
          <w:szCs w:val="32"/>
        </w:rPr>
        <w:t>“</w:t>
      </w:r>
      <w:r>
        <w:rPr>
          <w:sz w:val="32"/>
          <w:szCs w:val="32"/>
        </w:rPr>
        <w:t>双随机、一公开</w:t>
      </w:r>
      <w:r>
        <w:rPr>
          <w:rFonts w:hint="eastAsia"/>
          <w:sz w:val="32"/>
          <w:szCs w:val="32"/>
        </w:rPr>
        <w:t>”</w:t>
      </w:r>
      <w:r>
        <w:rPr>
          <w:sz w:val="32"/>
          <w:szCs w:val="32"/>
        </w:rPr>
        <w:t>监管工作联席会议成员名单</w:t>
      </w:r>
    </w:p>
    <w:p>
      <w:pPr>
        <w:pStyle w:val="14"/>
        <w:spacing w:beforeAutospacing="0" w:afterAutospacing="0"/>
        <w:ind w:left="1896" w:leftChars="500" w:hanging="316" w:hangingChars="100"/>
        <w:rPr>
          <w:sz w:val="32"/>
          <w:szCs w:val="32"/>
        </w:rPr>
      </w:pPr>
      <w:r>
        <w:rPr>
          <w:sz w:val="32"/>
          <w:szCs w:val="32"/>
        </w:rPr>
        <w:t>2.菏泽市定陶区</w:t>
      </w:r>
      <w:r>
        <w:rPr>
          <w:rFonts w:hint="eastAsia"/>
          <w:sz w:val="32"/>
          <w:szCs w:val="32"/>
        </w:rPr>
        <w:t>“</w:t>
      </w:r>
      <w:r>
        <w:rPr>
          <w:sz w:val="32"/>
          <w:szCs w:val="32"/>
        </w:rPr>
        <w:t>双随机、一公开</w:t>
      </w:r>
      <w:r>
        <w:rPr>
          <w:rFonts w:hint="eastAsia"/>
          <w:sz w:val="32"/>
          <w:szCs w:val="32"/>
        </w:rPr>
        <w:t>”</w:t>
      </w:r>
      <w:r>
        <w:rPr>
          <w:sz w:val="32"/>
          <w:szCs w:val="32"/>
        </w:rPr>
        <w:t>监管工作联席会议制度</w:t>
      </w:r>
    </w:p>
    <w:p>
      <w:pPr>
        <w:pStyle w:val="14"/>
        <w:spacing w:beforeAutospacing="0" w:afterAutospacing="0"/>
        <w:ind w:firstLine="638" w:firstLineChars="202"/>
        <w:rPr>
          <w:sz w:val="32"/>
          <w:szCs w:val="32"/>
        </w:rPr>
      </w:pPr>
    </w:p>
    <w:p>
      <w:pPr>
        <w:pStyle w:val="14"/>
        <w:spacing w:beforeAutospacing="0" w:afterAutospacing="0"/>
        <w:ind w:firstLine="638" w:firstLineChars="202"/>
        <w:jc w:val="right"/>
        <w:rPr>
          <w:sz w:val="32"/>
          <w:szCs w:val="32"/>
        </w:rPr>
      </w:pPr>
    </w:p>
    <w:p>
      <w:pPr>
        <w:wordWrap w:val="0"/>
        <w:ind w:firstLine="638" w:firstLineChars="202"/>
        <w:jc w:val="right"/>
        <w:rPr>
          <w:rFonts w:cs="Times New Roman"/>
          <w:szCs w:val="32"/>
        </w:rPr>
      </w:pPr>
      <w:r>
        <w:rPr>
          <w:rFonts w:cs="Times New Roman"/>
          <w:szCs w:val="32"/>
        </w:rPr>
        <w:t>菏泽市定陶区人民政府</w:t>
      </w:r>
      <w:r>
        <w:rPr>
          <w:rFonts w:hint="eastAsia" w:cs="Times New Roman"/>
          <w:szCs w:val="32"/>
        </w:rPr>
        <w:t xml:space="preserve"> </w:t>
      </w:r>
      <w:r>
        <w:rPr>
          <w:rFonts w:cs="Times New Roman"/>
          <w:szCs w:val="32"/>
        </w:rPr>
        <w:t>　　</w:t>
      </w:r>
    </w:p>
    <w:p>
      <w:pPr>
        <w:pStyle w:val="14"/>
        <w:wordWrap w:val="0"/>
        <w:spacing w:beforeAutospacing="0" w:afterAutospacing="0"/>
        <w:ind w:firstLine="638" w:firstLineChars="202"/>
        <w:jc w:val="right"/>
        <w:rPr>
          <w:sz w:val="32"/>
          <w:szCs w:val="32"/>
        </w:rPr>
      </w:pPr>
      <w:r>
        <w:rPr>
          <w:sz w:val="32"/>
          <w:szCs w:val="32"/>
        </w:rPr>
        <w:t>2020年</w:t>
      </w:r>
      <w:r>
        <w:rPr>
          <w:rFonts w:hint="eastAsia"/>
          <w:sz w:val="32"/>
          <w:szCs w:val="32"/>
        </w:rPr>
        <w:t>7</w:t>
      </w:r>
      <w:r>
        <w:rPr>
          <w:sz w:val="32"/>
          <w:szCs w:val="32"/>
        </w:rPr>
        <w:t>月</w:t>
      </w:r>
      <w:r>
        <w:rPr>
          <w:rFonts w:hint="eastAsia"/>
          <w:sz w:val="32"/>
          <w:szCs w:val="32"/>
        </w:rPr>
        <w:t>22</w:t>
      </w:r>
      <w:r>
        <w:rPr>
          <w:sz w:val="32"/>
          <w:szCs w:val="32"/>
        </w:rPr>
        <w:t>日　　　　</w:t>
      </w:r>
    </w:p>
    <w:p>
      <w:pPr>
        <w:pStyle w:val="14"/>
        <w:widowControl/>
        <w:spacing w:beforeAutospacing="0" w:afterAutospacing="0"/>
        <w:ind w:firstLine="420"/>
        <w:rPr>
          <w:sz w:val="32"/>
          <w:szCs w:val="32"/>
        </w:rPr>
      </w:pPr>
      <w:r>
        <w:rPr>
          <w:sz w:val="32"/>
          <w:szCs w:val="32"/>
        </w:rPr>
        <w:t>（此件公开发布）</w:t>
      </w:r>
    </w:p>
    <w:p>
      <w:pPr>
        <w:pStyle w:val="14"/>
        <w:widowControl/>
        <w:spacing w:beforeAutospacing="0" w:afterAutospacing="0"/>
        <w:ind w:firstLine="420"/>
        <w:rPr>
          <w:sz w:val="32"/>
          <w:szCs w:val="32"/>
        </w:rPr>
      </w:pPr>
    </w:p>
    <w:p>
      <w:pPr>
        <w:rPr>
          <w:rFonts w:cs="Times New Roman"/>
          <w:szCs w:val="32"/>
        </w:rPr>
      </w:pPr>
      <w:r>
        <w:rPr>
          <w:rFonts w:cs="Times New Roman"/>
          <w:szCs w:val="32"/>
        </w:rPr>
        <w:br w:type="page"/>
      </w:r>
    </w:p>
    <w:p>
      <w:pPr>
        <w:pStyle w:val="14"/>
        <w:widowControl/>
        <w:spacing w:beforeAutospacing="0" w:afterAutospacing="0"/>
        <w:rPr>
          <w:sz w:val="32"/>
          <w:szCs w:val="32"/>
        </w:rPr>
      </w:pPr>
      <w:r>
        <w:rPr>
          <w:rFonts w:hint="eastAsia" w:ascii="黑体" w:hAnsi="黑体" w:eastAsia="黑体" w:cs="黑体"/>
          <w:sz w:val="32"/>
          <w:szCs w:val="32"/>
        </w:rPr>
        <w:t>附件</w:t>
      </w:r>
      <w:r>
        <w:rPr>
          <w:sz w:val="32"/>
          <w:szCs w:val="32"/>
        </w:rPr>
        <w:t>1</w:t>
      </w:r>
    </w:p>
    <w:p>
      <w:pPr>
        <w:pStyle w:val="14"/>
        <w:widowControl/>
        <w:spacing w:beforeAutospacing="0" w:afterAutospacing="0"/>
        <w:rPr>
          <w:sz w:val="32"/>
          <w:szCs w:val="32"/>
        </w:rPr>
      </w:pPr>
    </w:p>
    <w:p>
      <w:pPr>
        <w:spacing w:line="620" w:lineRule="exact"/>
        <w:jc w:val="center"/>
        <w:rPr>
          <w:rFonts w:eastAsia="方正小标宋简体" w:cs="Times New Roman"/>
          <w:sz w:val="44"/>
          <w:szCs w:val="44"/>
        </w:rPr>
      </w:pPr>
      <w:r>
        <w:rPr>
          <w:rFonts w:eastAsia="方正小标宋简体" w:cs="Times New Roman"/>
          <w:sz w:val="44"/>
          <w:szCs w:val="44"/>
        </w:rPr>
        <w:t>菏泽市定陶区</w:t>
      </w:r>
      <w:r>
        <w:rPr>
          <w:rFonts w:hint="eastAsia" w:eastAsia="方正小标宋简体" w:cs="Times New Roman"/>
          <w:sz w:val="44"/>
          <w:szCs w:val="44"/>
        </w:rPr>
        <w:t>“</w:t>
      </w:r>
      <w:r>
        <w:rPr>
          <w:rFonts w:eastAsia="方正小标宋简体" w:cs="Times New Roman"/>
          <w:sz w:val="44"/>
          <w:szCs w:val="44"/>
        </w:rPr>
        <w:t>双随机、一公开</w:t>
      </w:r>
      <w:r>
        <w:rPr>
          <w:rFonts w:hint="eastAsia" w:eastAsia="方正小标宋简体" w:cs="Times New Roman"/>
          <w:sz w:val="44"/>
          <w:szCs w:val="44"/>
        </w:rPr>
        <w:t>”</w:t>
      </w:r>
      <w:r>
        <w:rPr>
          <w:rFonts w:eastAsia="方正小标宋简体" w:cs="Times New Roman"/>
          <w:sz w:val="44"/>
          <w:szCs w:val="44"/>
        </w:rPr>
        <w:t>监管工作</w:t>
      </w:r>
    </w:p>
    <w:p>
      <w:pPr>
        <w:spacing w:line="620" w:lineRule="exact"/>
        <w:jc w:val="center"/>
        <w:rPr>
          <w:rFonts w:eastAsia="方正小标宋简体" w:cs="Times New Roman"/>
          <w:sz w:val="44"/>
          <w:szCs w:val="44"/>
        </w:rPr>
      </w:pPr>
      <w:r>
        <w:rPr>
          <w:rFonts w:eastAsia="方正小标宋简体" w:cs="Times New Roman"/>
          <w:sz w:val="44"/>
          <w:szCs w:val="44"/>
        </w:rPr>
        <w:t>联席会议成员名单</w:t>
      </w:r>
    </w:p>
    <w:p>
      <w:pPr>
        <w:jc w:val="center"/>
        <w:rPr>
          <w:rFonts w:eastAsia="方正小标宋简体" w:cs="Times New Roman"/>
          <w:sz w:val="44"/>
          <w:szCs w:val="44"/>
        </w:rPr>
      </w:pPr>
    </w:p>
    <w:p>
      <w:pPr>
        <w:pStyle w:val="14"/>
        <w:widowControl/>
        <w:spacing w:beforeAutospacing="0" w:afterAutospacing="0"/>
        <w:ind w:left="3461" w:leftChars="200" w:hanging="2829" w:hangingChars="895"/>
        <w:rPr>
          <w:sz w:val="32"/>
          <w:szCs w:val="32"/>
        </w:rPr>
      </w:pPr>
      <w:r>
        <w:rPr>
          <w:rFonts w:hint="eastAsia" w:ascii="黑体" w:hAnsi="黑体" w:eastAsia="黑体" w:cs="黑体"/>
          <w:sz w:val="32"/>
          <w:szCs w:val="32"/>
        </w:rPr>
        <w:t>总召集人</w:t>
      </w:r>
      <w:r>
        <w:rPr>
          <w:sz w:val="32"/>
          <w:szCs w:val="32"/>
        </w:rPr>
        <w:t>：马常斌</w:t>
      </w:r>
      <w:r>
        <w:rPr>
          <w:rFonts w:hint="eastAsia"/>
          <w:sz w:val="32"/>
          <w:szCs w:val="32"/>
        </w:rPr>
        <w:t>　</w:t>
      </w:r>
      <w:r>
        <w:rPr>
          <w:sz w:val="32"/>
          <w:szCs w:val="32"/>
        </w:rPr>
        <w:t>区委常委，区政府党组副书记、副区长，行政审批服务局党组书记，区委教育工委书记</w:t>
      </w:r>
    </w:p>
    <w:p>
      <w:pPr>
        <w:pStyle w:val="14"/>
        <w:widowControl/>
        <w:spacing w:beforeAutospacing="0" w:afterAutospacing="0"/>
        <w:ind w:firstLine="640"/>
        <w:rPr>
          <w:sz w:val="32"/>
          <w:szCs w:val="32"/>
        </w:rPr>
      </w:pPr>
      <w:r>
        <w:rPr>
          <w:rFonts w:hint="eastAsia" w:ascii="黑体" w:hAnsi="黑体" w:eastAsia="黑体" w:cs="黑体"/>
          <w:sz w:val="32"/>
          <w:szCs w:val="32"/>
        </w:rPr>
        <w:t>召 集 人</w:t>
      </w:r>
      <w:r>
        <w:rPr>
          <w:sz w:val="32"/>
          <w:szCs w:val="32"/>
        </w:rPr>
        <w:t>：杨艳玲</w:t>
      </w:r>
      <w:r>
        <w:rPr>
          <w:rFonts w:hint="eastAsia"/>
          <w:sz w:val="32"/>
          <w:szCs w:val="32"/>
        </w:rPr>
        <w:t>　区政府党组成员、</w:t>
      </w:r>
      <w:r>
        <w:rPr>
          <w:sz w:val="32"/>
          <w:szCs w:val="32"/>
        </w:rPr>
        <w:t>副区长</w:t>
      </w:r>
    </w:p>
    <w:p>
      <w:pPr>
        <w:pStyle w:val="14"/>
        <w:widowControl/>
        <w:spacing w:beforeAutospacing="0" w:afterAutospacing="0"/>
        <w:ind w:firstLine="640"/>
        <w:rPr>
          <w:sz w:val="32"/>
          <w:szCs w:val="32"/>
        </w:rPr>
      </w:pPr>
      <w:r>
        <w:rPr>
          <w:rFonts w:hint="eastAsia" w:ascii="黑体" w:hAnsi="黑体" w:eastAsia="黑体" w:cs="黑体"/>
          <w:sz w:val="32"/>
          <w:szCs w:val="32"/>
        </w:rPr>
        <w:t>副召集人</w:t>
      </w:r>
      <w:r>
        <w:rPr>
          <w:sz w:val="32"/>
          <w:szCs w:val="32"/>
        </w:rPr>
        <w:t>：郭  登</w:t>
      </w:r>
      <w:r>
        <w:rPr>
          <w:rFonts w:hint="eastAsia"/>
          <w:sz w:val="32"/>
          <w:szCs w:val="32"/>
        </w:rPr>
        <w:t>　</w:t>
      </w:r>
      <w:r>
        <w:rPr>
          <w:sz w:val="32"/>
          <w:szCs w:val="32"/>
        </w:rPr>
        <w:t>区市场监</w:t>
      </w:r>
      <w:r>
        <w:rPr>
          <w:rFonts w:hint="eastAsia"/>
          <w:sz w:val="32"/>
          <w:szCs w:val="32"/>
        </w:rPr>
        <w:t>督</w:t>
      </w:r>
      <w:r>
        <w:rPr>
          <w:sz w:val="32"/>
          <w:szCs w:val="32"/>
        </w:rPr>
        <w:t>管</w:t>
      </w:r>
      <w:r>
        <w:rPr>
          <w:rFonts w:hint="eastAsia"/>
          <w:sz w:val="32"/>
          <w:szCs w:val="32"/>
        </w:rPr>
        <w:t>理</w:t>
      </w:r>
      <w:r>
        <w:rPr>
          <w:sz w:val="32"/>
          <w:szCs w:val="32"/>
        </w:rPr>
        <w:t>局</w:t>
      </w:r>
      <w:r>
        <w:rPr>
          <w:rFonts w:hint="eastAsia"/>
          <w:sz w:val="32"/>
          <w:szCs w:val="32"/>
        </w:rPr>
        <w:t>党组书记、</w:t>
      </w:r>
      <w:r>
        <w:rPr>
          <w:sz w:val="32"/>
          <w:szCs w:val="32"/>
        </w:rPr>
        <w:t>局长</w:t>
      </w:r>
    </w:p>
    <w:p>
      <w:pPr>
        <w:pStyle w:val="14"/>
        <w:widowControl/>
        <w:spacing w:beforeAutospacing="0" w:afterAutospacing="0"/>
        <w:ind w:firstLine="2200"/>
        <w:rPr>
          <w:sz w:val="32"/>
          <w:szCs w:val="32"/>
        </w:rPr>
      </w:pPr>
      <w:r>
        <w:rPr>
          <w:sz w:val="32"/>
          <w:szCs w:val="32"/>
        </w:rPr>
        <w:t>王玉峰</w:t>
      </w:r>
      <w:r>
        <w:rPr>
          <w:rFonts w:hint="eastAsia"/>
          <w:sz w:val="32"/>
          <w:szCs w:val="32"/>
        </w:rPr>
        <w:t>　区政府研究室二级主任科员</w:t>
      </w:r>
    </w:p>
    <w:p>
      <w:pPr>
        <w:pStyle w:val="14"/>
        <w:widowControl/>
        <w:spacing w:beforeAutospacing="0" w:afterAutospacing="0"/>
        <w:ind w:firstLine="640"/>
        <w:rPr>
          <w:sz w:val="32"/>
          <w:szCs w:val="32"/>
        </w:rPr>
      </w:pPr>
      <w:r>
        <w:rPr>
          <w:rFonts w:hint="eastAsia" w:ascii="黑体" w:hAnsi="黑体" w:eastAsia="黑体" w:cs="黑体"/>
          <w:sz w:val="32"/>
          <w:szCs w:val="32"/>
        </w:rPr>
        <w:t>成　　员</w:t>
      </w:r>
      <w:r>
        <w:rPr>
          <w:sz w:val="32"/>
          <w:szCs w:val="32"/>
        </w:rPr>
        <w:t>：</w:t>
      </w:r>
      <w:r>
        <w:rPr>
          <w:rFonts w:hint="eastAsia"/>
          <w:sz w:val="32"/>
          <w:szCs w:val="32"/>
        </w:rPr>
        <w:t>白光民　</w:t>
      </w:r>
      <w:r>
        <w:rPr>
          <w:sz w:val="32"/>
          <w:szCs w:val="32"/>
        </w:rPr>
        <w:t>区发</w:t>
      </w:r>
      <w:r>
        <w:rPr>
          <w:rFonts w:hint="eastAsia"/>
          <w:sz w:val="32"/>
          <w:szCs w:val="32"/>
        </w:rPr>
        <w:t>展和</w:t>
      </w:r>
      <w:r>
        <w:rPr>
          <w:sz w:val="32"/>
          <w:szCs w:val="32"/>
        </w:rPr>
        <w:t>改</w:t>
      </w:r>
      <w:r>
        <w:rPr>
          <w:rFonts w:hint="eastAsia"/>
          <w:sz w:val="32"/>
          <w:szCs w:val="32"/>
        </w:rPr>
        <w:t>革局</w:t>
      </w:r>
      <w:r>
        <w:rPr>
          <w:sz w:val="32"/>
          <w:szCs w:val="32"/>
        </w:rPr>
        <w:t>党组成员</w:t>
      </w:r>
      <w:r>
        <w:rPr>
          <w:rFonts w:hint="eastAsia"/>
          <w:sz w:val="32"/>
          <w:szCs w:val="32"/>
        </w:rPr>
        <w:t>（副科级）</w:t>
      </w:r>
    </w:p>
    <w:p>
      <w:pPr>
        <w:pStyle w:val="14"/>
        <w:widowControl/>
        <w:spacing w:beforeAutospacing="0" w:afterAutospacing="0"/>
        <w:ind w:firstLine="2200"/>
        <w:rPr>
          <w:sz w:val="32"/>
          <w:szCs w:val="32"/>
        </w:rPr>
      </w:pPr>
      <w:r>
        <w:rPr>
          <w:rFonts w:hint="eastAsia"/>
          <w:sz w:val="32"/>
          <w:szCs w:val="32"/>
        </w:rPr>
        <w:t>郝建来　</w:t>
      </w:r>
      <w:r>
        <w:rPr>
          <w:sz w:val="32"/>
          <w:szCs w:val="32"/>
        </w:rPr>
        <w:t>区教育</w:t>
      </w:r>
      <w:r>
        <w:rPr>
          <w:rFonts w:hint="eastAsia"/>
          <w:sz w:val="32"/>
          <w:szCs w:val="32"/>
        </w:rPr>
        <w:t>和体育</w:t>
      </w:r>
      <w:r>
        <w:rPr>
          <w:sz w:val="32"/>
          <w:szCs w:val="32"/>
        </w:rPr>
        <w:t>局</w:t>
      </w:r>
      <w:r>
        <w:rPr>
          <w:rFonts w:hint="eastAsia"/>
          <w:sz w:val="32"/>
          <w:szCs w:val="32"/>
        </w:rPr>
        <w:t>原副主任科员</w:t>
      </w:r>
    </w:p>
    <w:p>
      <w:pPr>
        <w:pStyle w:val="14"/>
        <w:widowControl/>
        <w:spacing w:beforeAutospacing="0" w:afterAutospacing="0"/>
        <w:ind w:left="3466" w:leftChars="696" w:hanging="1267" w:hangingChars="401"/>
        <w:rPr>
          <w:sz w:val="32"/>
          <w:szCs w:val="32"/>
        </w:rPr>
      </w:pPr>
      <w:r>
        <w:rPr>
          <w:rFonts w:hint="eastAsia"/>
          <w:sz w:val="32"/>
          <w:szCs w:val="32"/>
        </w:rPr>
        <w:t>李白夜　</w:t>
      </w:r>
      <w:r>
        <w:rPr>
          <w:sz w:val="32"/>
          <w:szCs w:val="32"/>
        </w:rPr>
        <w:t>区</w:t>
      </w:r>
      <w:r>
        <w:rPr>
          <w:rFonts w:hint="eastAsia"/>
          <w:sz w:val="32"/>
          <w:szCs w:val="32"/>
        </w:rPr>
        <w:t>人力资源和社会保障局党组成员、副局长</w:t>
      </w:r>
    </w:p>
    <w:p>
      <w:pPr>
        <w:pStyle w:val="14"/>
        <w:widowControl/>
        <w:spacing w:beforeAutospacing="0" w:afterAutospacing="0"/>
        <w:ind w:left="3466" w:leftChars="696" w:hanging="1267" w:hangingChars="401"/>
        <w:rPr>
          <w:sz w:val="32"/>
          <w:szCs w:val="32"/>
        </w:rPr>
      </w:pPr>
      <w:r>
        <w:rPr>
          <w:rFonts w:hint="eastAsia"/>
          <w:sz w:val="32"/>
          <w:szCs w:val="32"/>
        </w:rPr>
        <w:t>王　钊　</w:t>
      </w:r>
      <w:r>
        <w:rPr>
          <w:sz w:val="32"/>
          <w:szCs w:val="32"/>
        </w:rPr>
        <w:t>区</w:t>
      </w:r>
      <w:r>
        <w:rPr>
          <w:rFonts w:hint="eastAsia"/>
          <w:sz w:val="32"/>
          <w:szCs w:val="32"/>
        </w:rPr>
        <w:t>住房和城乡建设局党组成员、副局长，区人防办主任（兼）</w:t>
      </w:r>
    </w:p>
    <w:p>
      <w:pPr>
        <w:pStyle w:val="14"/>
        <w:widowControl/>
        <w:spacing w:beforeAutospacing="0" w:afterAutospacing="0"/>
        <w:ind w:left="3156" w:leftChars="696" w:hanging="957" w:hangingChars="303"/>
        <w:rPr>
          <w:sz w:val="32"/>
          <w:szCs w:val="32"/>
        </w:rPr>
      </w:pPr>
      <w:r>
        <w:rPr>
          <w:rFonts w:hint="eastAsia"/>
          <w:sz w:val="32"/>
          <w:szCs w:val="32"/>
        </w:rPr>
        <w:t>许海臣　</w:t>
      </w:r>
      <w:r>
        <w:rPr>
          <w:sz w:val="32"/>
          <w:szCs w:val="32"/>
        </w:rPr>
        <w:t>区交通运输局</w:t>
      </w:r>
      <w:r>
        <w:rPr>
          <w:rFonts w:hint="eastAsia"/>
          <w:sz w:val="32"/>
          <w:szCs w:val="32"/>
        </w:rPr>
        <w:t>农村公路服务中心主任</w:t>
      </w:r>
    </w:p>
    <w:p>
      <w:pPr>
        <w:pStyle w:val="14"/>
        <w:widowControl/>
        <w:spacing w:beforeAutospacing="0" w:afterAutospacing="0"/>
        <w:ind w:left="3156" w:leftChars="696" w:hanging="957" w:hangingChars="303"/>
        <w:rPr>
          <w:sz w:val="32"/>
          <w:szCs w:val="32"/>
        </w:rPr>
      </w:pPr>
      <w:r>
        <w:rPr>
          <w:rFonts w:hint="eastAsia"/>
          <w:sz w:val="32"/>
          <w:szCs w:val="32"/>
        </w:rPr>
        <w:t>王奉茹　</w:t>
      </w:r>
      <w:r>
        <w:rPr>
          <w:sz w:val="32"/>
          <w:szCs w:val="32"/>
        </w:rPr>
        <w:t>区农业农村局</w:t>
      </w:r>
      <w:r>
        <w:rPr>
          <w:rFonts w:hint="eastAsia"/>
          <w:sz w:val="32"/>
          <w:szCs w:val="32"/>
        </w:rPr>
        <w:t>二级主任科员</w:t>
      </w:r>
    </w:p>
    <w:p>
      <w:pPr>
        <w:pStyle w:val="14"/>
        <w:widowControl/>
        <w:spacing w:beforeAutospacing="0" w:afterAutospacing="0"/>
        <w:ind w:left="3156" w:leftChars="696" w:hanging="957" w:hangingChars="303"/>
        <w:rPr>
          <w:sz w:val="32"/>
          <w:szCs w:val="32"/>
        </w:rPr>
      </w:pPr>
      <w:r>
        <w:rPr>
          <w:rFonts w:hint="eastAsia"/>
          <w:sz w:val="32"/>
          <w:szCs w:val="32"/>
        </w:rPr>
        <w:t>游聚安　</w:t>
      </w:r>
      <w:r>
        <w:rPr>
          <w:sz w:val="32"/>
          <w:szCs w:val="32"/>
        </w:rPr>
        <w:t>区商务局</w:t>
      </w:r>
      <w:r>
        <w:rPr>
          <w:rFonts w:hint="eastAsia"/>
          <w:sz w:val="32"/>
          <w:szCs w:val="32"/>
        </w:rPr>
        <w:t>副局长</w:t>
      </w:r>
    </w:p>
    <w:p>
      <w:pPr>
        <w:pStyle w:val="14"/>
        <w:widowControl/>
        <w:spacing w:beforeAutospacing="0" w:afterAutospacing="0"/>
        <w:ind w:left="3156" w:leftChars="696" w:hanging="957" w:hangingChars="303"/>
        <w:rPr>
          <w:sz w:val="32"/>
          <w:szCs w:val="32"/>
        </w:rPr>
      </w:pPr>
      <w:r>
        <w:rPr>
          <w:rFonts w:hint="eastAsia"/>
          <w:sz w:val="32"/>
          <w:szCs w:val="32"/>
        </w:rPr>
        <w:t>孔令松　</w:t>
      </w:r>
      <w:r>
        <w:rPr>
          <w:sz w:val="32"/>
          <w:szCs w:val="32"/>
        </w:rPr>
        <w:t>区文化</w:t>
      </w:r>
      <w:r>
        <w:rPr>
          <w:rFonts w:hint="eastAsia"/>
          <w:sz w:val="32"/>
          <w:szCs w:val="32"/>
        </w:rPr>
        <w:t>市场综合执法局局长</w:t>
      </w:r>
    </w:p>
    <w:p>
      <w:pPr>
        <w:pStyle w:val="14"/>
        <w:widowControl/>
        <w:spacing w:beforeAutospacing="0" w:afterAutospacing="0"/>
        <w:ind w:left="3454" w:leftChars="696" w:hanging="1255" w:hangingChars="397"/>
        <w:rPr>
          <w:sz w:val="32"/>
          <w:szCs w:val="32"/>
        </w:rPr>
      </w:pPr>
      <w:r>
        <w:rPr>
          <w:rFonts w:hint="eastAsia"/>
          <w:sz w:val="32"/>
          <w:szCs w:val="32"/>
        </w:rPr>
        <w:t>樊　琥　</w:t>
      </w:r>
      <w:r>
        <w:rPr>
          <w:sz w:val="32"/>
          <w:szCs w:val="32"/>
        </w:rPr>
        <w:t>区卫生健康</w:t>
      </w:r>
      <w:r>
        <w:rPr>
          <w:rFonts w:hint="eastAsia"/>
          <w:sz w:val="32"/>
          <w:szCs w:val="32"/>
        </w:rPr>
        <w:t>局</w:t>
      </w:r>
      <w:r>
        <w:rPr>
          <w:sz w:val="32"/>
          <w:szCs w:val="32"/>
        </w:rPr>
        <w:t>党组成员、区卫生</w:t>
      </w:r>
      <w:r>
        <w:rPr>
          <w:rFonts w:hint="eastAsia"/>
          <w:sz w:val="32"/>
          <w:szCs w:val="32"/>
        </w:rPr>
        <w:t>计生</w:t>
      </w:r>
      <w:r>
        <w:rPr>
          <w:sz w:val="32"/>
          <w:szCs w:val="32"/>
        </w:rPr>
        <w:t>综合执法</w:t>
      </w:r>
      <w:r>
        <w:rPr>
          <w:rFonts w:hint="eastAsia"/>
          <w:sz w:val="32"/>
          <w:szCs w:val="32"/>
        </w:rPr>
        <w:t>局局</w:t>
      </w:r>
      <w:r>
        <w:rPr>
          <w:sz w:val="32"/>
          <w:szCs w:val="32"/>
        </w:rPr>
        <w:t>长</w:t>
      </w:r>
    </w:p>
    <w:p>
      <w:pPr>
        <w:pStyle w:val="14"/>
        <w:widowControl/>
        <w:spacing w:beforeAutospacing="0" w:afterAutospacing="0"/>
        <w:ind w:left="3156" w:leftChars="696" w:hanging="957" w:hangingChars="303"/>
        <w:rPr>
          <w:spacing w:val="-6"/>
          <w:sz w:val="32"/>
          <w:szCs w:val="32"/>
        </w:rPr>
      </w:pPr>
      <w:r>
        <w:rPr>
          <w:rFonts w:hint="eastAsia"/>
          <w:sz w:val="32"/>
          <w:szCs w:val="32"/>
        </w:rPr>
        <w:t>康　磊　</w:t>
      </w:r>
      <w:r>
        <w:rPr>
          <w:spacing w:val="-6"/>
          <w:sz w:val="32"/>
          <w:szCs w:val="32"/>
        </w:rPr>
        <w:t>区应急管理局</w:t>
      </w:r>
      <w:r>
        <w:rPr>
          <w:rFonts w:hint="eastAsia"/>
          <w:spacing w:val="-6"/>
          <w:sz w:val="32"/>
          <w:szCs w:val="32"/>
        </w:rPr>
        <w:t>党组成员，监察大队大队长</w:t>
      </w:r>
    </w:p>
    <w:p>
      <w:pPr>
        <w:pStyle w:val="14"/>
        <w:widowControl/>
        <w:spacing w:beforeAutospacing="0" w:afterAutospacing="0"/>
        <w:ind w:left="3156" w:leftChars="696" w:hanging="957" w:hangingChars="303"/>
        <w:rPr>
          <w:sz w:val="32"/>
          <w:szCs w:val="32"/>
        </w:rPr>
      </w:pPr>
      <w:r>
        <w:rPr>
          <w:rFonts w:hint="eastAsia"/>
          <w:sz w:val="32"/>
          <w:szCs w:val="32"/>
        </w:rPr>
        <w:t>张　静　</w:t>
      </w:r>
      <w:r>
        <w:rPr>
          <w:sz w:val="32"/>
          <w:szCs w:val="32"/>
        </w:rPr>
        <w:t>区行政审批服务局</w:t>
      </w:r>
      <w:r>
        <w:rPr>
          <w:rFonts w:hint="eastAsia"/>
          <w:sz w:val="32"/>
          <w:szCs w:val="32"/>
        </w:rPr>
        <w:t>党组成员、</w:t>
      </w:r>
      <w:r>
        <w:rPr>
          <w:sz w:val="32"/>
          <w:szCs w:val="32"/>
        </w:rPr>
        <w:t>副局长</w:t>
      </w:r>
    </w:p>
    <w:p>
      <w:pPr>
        <w:pStyle w:val="14"/>
        <w:widowControl/>
        <w:spacing w:beforeAutospacing="0" w:afterAutospacing="0"/>
        <w:ind w:left="3156" w:leftChars="696" w:hanging="957" w:hangingChars="303"/>
        <w:rPr>
          <w:sz w:val="32"/>
          <w:szCs w:val="32"/>
        </w:rPr>
      </w:pPr>
      <w:r>
        <w:rPr>
          <w:rFonts w:hint="eastAsia"/>
          <w:sz w:val="32"/>
          <w:szCs w:val="32"/>
        </w:rPr>
        <w:t>孙　峰　</w:t>
      </w:r>
      <w:r>
        <w:rPr>
          <w:sz w:val="32"/>
          <w:szCs w:val="32"/>
        </w:rPr>
        <w:t>区市场</w:t>
      </w:r>
      <w:r>
        <w:rPr>
          <w:rFonts w:hint="eastAsia"/>
          <w:sz w:val="32"/>
          <w:szCs w:val="32"/>
        </w:rPr>
        <w:t>监督管理</w:t>
      </w:r>
      <w:r>
        <w:rPr>
          <w:sz w:val="32"/>
          <w:szCs w:val="32"/>
        </w:rPr>
        <w:t>局</w:t>
      </w:r>
      <w:r>
        <w:rPr>
          <w:rFonts w:hint="eastAsia"/>
          <w:sz w:val="32"/>
          <w:szCs w:val="32"/>
        </w:rPr>
        <w:t>二级主任科员</w:t>
      </w:r>
    </w:p>
    <w:p>
      <w:pPr>
        <w:pStyle w:val="14"/>
        <w:widowControl/>
        <w:spacing w:beforeAutospacing="0" w:afterAutospacing="0"/>
        <w:ind w:left="3156" w:leftChars="696" w:hanging="957" w:hangingChars="303"/>
        <w:rPr>
          <w:sz w:val="32"/>
          <w:szCs w:val="32"/>
        </w:rPr>
      </w:pPr>
      <w:r>
        <w:rPr>
          <w:rFonts w:hint="eastAsia"/>
          <w:sz w:val="32"/>
          <w:szCs w:val="32"/>
        </w:rPr>
        <w:t>薛继花　</w:t>
      </w:r>
      <w:r>
        <w:rPr>
          <w:sz w:val="32"/>
          <w:szCs w:val="32"/>
        </w:rPr>
        <w:t>区统计局</w:t>
      </w:r>
      <w:r>
        <w:rPr>
          <w:rFonts w:hint="eastAsia"/>
          <w:sz w:val="32"/>
          <w:szCs w:val="32"/>
        </w:rPr>
        <w:t>二级主任科员</w:t>
      </w:r>
    </w:p>
    <w:p>
      <w:pPr>
        <w:pStyle w:val="14"/>
        <w:widowControl/>
        <w:spacing w:beforeAutospacing="0" w:afterAutospacing="0"/>
        <w:ind w:left="3466" w:leftChars="696" w:hanging="1267" w:hangingChars="401"/>
        <w:rPr>
          <w:sz w:val="32"/>
          <w:szCs w:val="32"/>
        </w:rPr>
      </w:pPr>
      <w:r>
        <w:rPr>
          <w:rFonts w:hint="eastAsia"/>
          <w:sz w:val="32"/>
          <w:szCs w:val="32"/>
        </w:rPr>
        <w:t>梁鲲鹏　市公安局定陶区分局党委委员，国内安保大队大队长，三级警长</w:t>
      </w:r>
    </w:p>
    <w:p>
      <w:pPr>
        <w:pStyle w:val="14"/>
        <w:widowControl/>
        <w:spacing w:beforeAutospacing="0" w:afterAutospacing="0"/>
        <w:ind w:left="3156" w:leftChars="696" w:hanging="957" w:hangingChars="303"/>
        <w:rPr>
          <w:sz w:val="32"/>
          <w:szCs w:val="32"/>
        </w:rPr>
      </w:pPr>
      <w:r>
        <w:rPr>
          <w:rFonts w:hint="eastAsia"/>
          <w:sz w:val="32"/>
          <w:szCs w:val="32"/>
        </w:rPr>
        <w:t>李金瑞　市</w:t>
      </w:r>
      <w:r>
        <w:rPr>
          <w:sz w:val="32"/>
          <w:szCs w:val="32"/>
        </w:rPr>
        <w:t>生态环境局</w:t>
      </w:r>
      <w:r>
        <w:rPr>
          <w:rFonts w:hint="eastAsia"/>
          <w:sz w:val="32"/>
          <w:szCs w:val="32"/>
        </w:rPr>
        <w:t>定陶分局二级主任科员</w:t>
      </w:r>
    </w:p>
    <w:p>
      <w:pPr>
        <w:pStyle w:val="14"/>
        <w:widowControl/>
        <w:spacing w:beforeAutospacing="0" w:afterAutospacing="0"/>
        <w:ind w:left="3156" w:leftChars="696" w:hanging="957" w:hangingChars="303"/>
        <w:rPr>
          <w:sz w:val="32"/>
          <w:szCs w:val="32"/>
        </w:rPr>
      </w:pPr>
      <w:r>
        <w:rPr>
          <w:rFonts w:hint="eastAsia"/>
          <w:sz w:val="32"/>
          <w:szCs w:val="32"/>
        </w:rPr>
        <w:t>张文昶　</w:t>
      </w:r>
      <w:r>
        <w:rPr>
          <w:sz w:val="32"/>
          <w:szCs w:val="32"/>
        </w:rPr>
        <w:t>区税务局</w:t>
      </w:r>
      <w:r>
        <w:rPr>
          <w:rFonts w:hint="eastAsia"/>
          <w:sz w:val="32"/>
          <w:szCs w:val="32"/>
        </w:rPr>
        <w:t>党委委员、副局长</w:t>
      </w:r>
    </w:p>
    <w:p>
      <w:pPr>
        <w:pStyle w:val="14"/>
        <w:widowControl/>
        <w:spacing w:beforeAutospacing="0" w:afterAutospacing="0"/>
        <w:ind w:firstLine="640"/>
        <w:rPr>
          <w:sz w:val="32"/>
          <w:szCs w:val="32"/>
        </w:rPr>
      </w:pPr>
      <w:r>
        <w:rPr>
          <w:sz w:val="32"/>
          <w:szCs w:val="32"/>
        </w:rPr>
        <w:t>联席会议办公室设在区市场监管局</w:t>
      </w:r>
      <w:r>
        <w:rPr>
          <w:rFonts w:hint="eastAsia"/>
          <w:sz w:val="32"/>
          <w:szCs w:val="32"/>
        </w:rPr>
        <w:t>，</w:t>
      </w:r>
      <w:r>
        <w:rPr>
          <w:sz w:val="32"/>
          <w:szCs w:val="32"/>
        </w:rPr>
        <w:t>郭登兼任办公室主任。</w:t>
      </w:r>
    </w:p>
    <w:p>
      <w:pPr>
        <w:pStyle w:val="14"/>
        <w:widowControl/>
        <w:spacing w:beforeAutospacing="0" w:afterAutospacing="0"/>
        <w:rPr>
          <w:sz w:val="32"/>
          <w:szCs w:val="32"/>
        </w:rPr>
      </w:pPr>
    </w:p>
    <w:p>
      <w:pPr>
        <w:rPr>
          <w:rFonts w:cs="Times New Roman"/>
          <w:szCs w:val="32"/>
        </w:rPr>
      </w:pPr>
      <w:r>
        <w:rPr>
          <w:rFonts w:cs="Times New Roman"/>
          <w:szCs w:val="32"/>
        </w:rPr>
        <w:br w:type="page"/>
      </w:r>
    </w:p>
    <w:p>
      <w:pPr>
        <w:pStyle w:val="14"/>
        <w:widowControl/>
        <w:spacing w:beforeAutospacing="0" w:afterAutospacing="0"/>
        <w:rPr>
          <w:sz w:val="32"/>
          <w:szCs w:val="32"/>
        </w:rPr>
      </w:pPr>
      <w:r>
        <w:rPr>
          <w:rFonts w:eastAsia="黑体"/>
          <w:sz w:val="32"/>
          <w:szCs w:val="32"/>
        </w:rPr>
        <w:t>附件</w:t>
      </w:r>
      <w:r>
        <w:rPr>
          <w:sz w:val="32"/>
          <w:szCs w:val="32"/>
        </w:rPr>
        <w:t>2</w:t>
      </w:r>
    </w:p>
    <w:p>
      <w:pPr>
        <w:rPr>
          <w:rFonts w:cs="Times New Roman"/>
        </w:rPr>
      </w:pPr>
    </w:p>
    <w:p>
      <w:pPr>
        <w:spacing w:line="620" w:lineRule="exact"/>
        <w:jc w:val="center"/>
        <w:rPr>
          <w:rFonts w:eastAsia="方正小标宋简体" w:cs="Times New Roman"/>
          <w:sz w:val="44"/>
          <w:szCs w:val="44"/>
        </w:rPr>
      </w:pPr>
      <w:r>
        <w:rPr>
          <w:rFonts w:eastAsia="方正小标宋简体" w:cs="Times New Roman"/>
          <w:sz w:val="44"/>
          <w:szCs w:val="44"/>
        </w:rPr>
        <w:t>菏泽市定陶区</w:t>
      </w:r>
      <w:r>
        <w:rPr>
          <w:rFonts w:hint="eastAsia" w:eastAsia="方正小标宋简体" w:cs="Times New Roman"/>
          <w:sz w:val="44"/>
          <w:szCs w:val="44"/>
        </w:rPr>
        <w:t>“</w:t>
      </w:r>
      <w:r>
        <w:rPr>
          <w:rFonts w:eastAsia="方正小标宋简体" w:cs="Times New Roman"/>
          <w:sz w:val="44"/>
          <w:szCs w:val="44"/>
        </w:rPr>
        <w:t>双随机、一公开</w:t>
      </w:r>
      <w:r>
        <w:rPr>
          <w:rFonts w:hint="eastAsia" w:eastAsia="方正小标宋简体" w:cs="Times New Roman"/>
          <w:sz w:val="44"/>
          <w:szCs w:val="44"/>
        </w:rPr>
        <w:t>”</w:t>
      </w:r>
      <w:r>
        <w:rPr>
          <w:rFonts w:eastAsia="方正小标宋简体" w:cs="Times New Roman"/>
          <w:sz w:val="44"/>
          <w:szCs w:val="44"/>
        </w:rPr>
        <w:t>监管工作</w:t>
      </w:r>
    </w:p>
    <w:p>
      <w:pPr>
        <w:spacing w:line="620" w:lineRule="exact"/>
        <w:jc w:val="center"/>
        <w:rPr>
          <w:rFonts w:eastAsia="方正小标宋简体" w:cs="Times New Roman"/>
          <w:sz w:val="44"/>
          <w:szCs w:val="44"/>
        </w:rPr>
      </w:pPr>
      <w:r>
        <w:rPr>
          <w:rFonts w:eastAsia="方正小标宋简体" w:cs="Times New Roman"/>
          <w:sz w:val="44"/>
          <w:szCs w:val="44"/>
        </w:rPr>
        <w:t>联席会议制度</w:t>
      </w:r>
    </w:p>
    <w:p>
      <w:pPr>
        <w:pStyle w:val="14"/>
        <w:widowControl/>
        <w:spacing w:beforeAutospacing="0" w:afterAutospacing="0"/>
        <w:rPr>
          <w:sz w:val="32"/>
          <w:szCs w:val="32"/>
        </w:rPr>
      </w:pPr>
    </w:p>
    <w:p>
      <w:pPr>
        <w:ind w:firstLine="638" w:firstLineChars="202"/>
        <w:rPr>
          <w:rFonts w:eastAsia="黑体" w:cs="Times New Roman"/>
        </w:rPr>
      </w:pPr>
      <w:r>
        <w:rPr>
          <w:rFonts w:eastAsia="黑体" w:cs="Times New Roman"/>
        </w:rPr>
        <w:t>一、联席会议主要职责</w:t>
      </w:r>
    </w:p>
    <w:p>
      <w:pPr>
        <w:pStyle w:val="14"/>
        <w:widowControl/>
        <w:spacing w:beforeAutospacing="0" w:afterAutospacing="0"/>
        <w:ind w:firstLine="640"/>
        <w:rPr>
          <w:sz w:val="32"/>
          <w:szCs w:val="32"/>
        </w:rPr>
      </w:pPr>
      <w:r>
        <w:rPr>
          <w:sz w:val="32"/>
          <w:szCs w:val="32"/>
        </w:rPr>
        <w:t>（一）研究落实党中央、国务院、省委、省政府和区委、区政府关于全面推行部门联合</w:t>
      </w:r>
      <w:r>
        <w:rPr>
          <w:rFonts w:hint="eastAsia"/>
          <w:sz w:val="32"/>
          <w:szCs w:val="32"/>
        </w:rPr>
        <w:t>“</w:t>
      </w:r>
      <w:r>
        <w:rPr>
          <w:sz w:val="32"/>
          <w:szCs w:val="32"/>
        </w:rPr>
        <w:t>双随机、一公开</w:t>
      </w:r>
      <w:r>
        <w:rPr>
          <w:rFonts w:hint="eastAsia"/>
          <w:sz w:val="32"/>
          <w:szCs w:val="32"/>
        </w:rPr>
        <w:t>”</w:t>
      </w:r>
      <w:r>
        <w:rPr>
          <w:sz w:val="32"/>
          <w:szCs w:val="32"/>
        </w:rPr>
        <w:t>监管的重大事项。</w:t>
      </w:r>
    </w:p>
    <w:p>
      <w:pPr>
        <w:pStyle w:val="14"/>
        <w:widowControl/>
        <w:spacing w:beforeAutospacing="0" w:afterAutospacing="0"/>
        <w:ind w:firstLine="640"/>
        <w:rPr>
          <w:sz w:val="32"/>
          <w:szCs w:val="32"/>
        </w:rPr>
      </w:pPr>
      <w:r>
        <w:rPr>
          <w:sz w:val="32"/>
          <w:szCs w:val="32"/>
        </w:rPr>
        <w:t>（二）研究分析全区</w:t>
      </w:r>
      <w:r>
        <w:rPr>
          <w:rFonts w:hint="eastAsia"/>
          <w:sz w:val="32"/>
          <w:szCs w:val="32"/>
        </w:rPr>
        <w:t>“</w:t>
      </w:r>
      <w:r>
        <w:rPr>
          <w:sz w:val="32"/>
          <w:szCs w:val="32"/>
        </w:rPr>
        <w:t>双随机、一公开</w:t>
      </w:r>
      <w:r>
        <w:rPr>
          <w:rFonts w:hint="eastAsia"/>
          <w:sz w:val="32"/>
          <w:szCs w:val="32"/>
        </w:rPr>
        <w:t>”</w:t>
      </w:r>
      <w:r>
        <w:rPr>
          <w:sz w:val="32"/>
          <w:szCs w:val="32"/>
        </w:rPr>
        <w:t>监管工作中的重点和难点问题，提出解决措施。</w:t>
      </w:r>
    </w:p>
    <w:p>
      <w:pPr>
        <w:pStyle w:val="14"/>
        <w:widowControl/>
        <w:spacing w:beforeAutospacing="0" w:afterAutospacing="0"/>
        <w:ind w:firstLine="640"/>
        <w:rPr>
          <w:sz w:val="32"/>
          <w:szCs w:val="32"/>
        </w:rPr>
      </w:pPr>
      <w:r>
        <w:rPr>
          <w:sz w:val="32"/>
          <w:szCs w:val="32"/>
        </w:rPr>
        <w:t>（三）协调解决涉及跨部门的</w:t>
      </w:r>
      <w:r>
        <w:rPr>
          <w:rFonts w:hint="eastAsia"/>
          <w:sz w:val="32"/>
          <w:szCs w:val="32"/>
        </w:rPr>
        <w:t>“</w:t>
      </w:r>
      <w:r>
        <w:rPr>
          <w:sz w:val="32"/>
          <w:szCs w:val="32"/>
        </w:rPr>
        <w:t>双随机、一公开</w:t>
      </w:r>
      <w:r>
        <w:rPr>
          <w:rFonts w:hint="eastAsia"/>
          <w:sz w:val="32"/>
          <w:szCs w:val="32"/>
        </w:rPr>
        <w:t>”</w:t>
      </w:r>
      <w:r>
        <w:rPr>
          <w:sz w:val="32"/>
          <w:szCs w:val="32"/>
        </w:rPr>
        <w:t>监管问题，促进部门间协作配合，建立长效工作机制。</w:t>
      </w:r>
    </w:p>
    <w:p>
      <w:pPr>
        <w:pStyle w:val="14"/>
        <w:widowControl/>
        <w:spacing w:beforeAutospacing="0" w:afterAutospacing="0"/>
        <w:ind w:firstLine="640"/>
        <w:rPr>
          <w:sz w:val="32"/>
          <w:szCs w:val="32"/>
        </w:rPr>
      </w:pPr>
      <w:r>
        <w:rPr>
          <w:sz w:val="32"/>
          <w:szCs w:val="32"/>
        </w:rPr>
        <w:t>（四）完成区委、区政府交办的其他事项。</w:t>
      </w:r>
    </w:p>
    <w:p>
      <w:pPr>
        <w:ind w:firstLine="638" w:firstLineChars="202"/>
        <w:rPr>
          <w:rFonts w:eastAsia="黑体" w:cs="Times New Roman"/>
        </w:rPr>
      </w:pPr>
      <w:r>
        <w:rPr>
          <w:rFonts w:eastAsia="黑体" w:cs="Times New Roman"/>
        </w:rPr>
        <w:t>二、联席会议工作规则</w:t>
      </w:r>
    </w:p>
    <w:p>
      <w:pPr>
        <w:pStyle w:val="14"/>
        <w:widowControl/>
        <w:spacing w:beforeAutospacing="0" w:afterAutospacing="0"/>
        <w:ind w:firstLine="640"/>
        <w:rPr>
          <w:sz w:val="32"/>
          <w:szCs w:val="32"/>
        </w:rPr>
      </w:pPr>
      <w:r>
        <w:rPr>
          <w:sz w:val="32"/>
          <w:szCs w:val="32"/>
        </w:rPr>
        <w:t>（一）联席会议不定期召开会议，每年召开1至2次，原则上由总召集人或召集人召集；一般性或临时性事项由副召集人召集。根据工作需要研究相关工作时，可临时召集部门成员单位会议，也可邀请其他非成员单位参加会议。</w:t>
      </w:r>
    </w:p>
    <w:p>
      <w:pPr>
        <w:pStyle w:val="14"/>
        <w:widowControl/>
        <w:spacing w:beforeAutospacing="0" w:afterAutospacing="0"/>
        <w:ind w:firstLine="640"/>
        <w:rPr>
          <w:sz w:val="32"/>
          <w:szCs w:val="32"/>
        </w:rPr>
      </w:pPr>
      <w:r>
        <w:rPr>
          <w:sz w:val="32"/>
          <w:szCs w:val="32"/>
        </w:rPr>
        <w:t>（二）联席会议议题由联席会议办公室汇总提出，报总召集人或者召集人审定；一般性或临时性议题，报副召集人审定。</w:t>
      </w:r>
    </w:p>
    <w:p>
      <w:pPr>
        <w:pStyle w:val="14"/>
        <w:widowControl/>
        <w:spacing w:beforeAutospacing="0" w:afterAutospacing="0"/>
        <w:ind w:firstLine="640"/>
        <w:rPr>
          <w:sz w:val="32"/>
          <w:szCs w:val="32"/>
        </w:rPr>
      </w:pPr>
      <w:r>
        <w:rPr>
          <w:sz w:val="32"/>
          <w:szCs w:val="32"/>
        </w:rPr>
        <w:t>（三）联席会议以会议纪要形式明确会议议定事项，印发各相关单位。</w:t>
      </w:r>
    </w:p>
    <w:p>
      <w:pPr>
        <w:pStyle w:val="14"/>
        <w:widowControl/>
        <w:spacing w:beforeAutospacing="0" w:afterAutospacing="0"/>
        <w:ind w:firstLine="640"/>
        <w:rPr>
          <w:sz w:val="32"/>
          <w:szCs w:val="32"/>
        </w:rPr>
      </w:pPr>
      <w:r>
        <w:rPr>
          <w:sz w:val="32"/>
          <w:szCs w:val="32"/>
        </w:rPr>
        <w:t>（四）各联席会议成员单位按照职责分工，主动研究涉及</w:t>
      </w:r>
      <w:r>
        <w:rPr>
          <w:rFonts w:hint="eastAsia"/>
          <w:sz w:val="32"/>
          <w:szCs w:val="32"/>
        </w:rPr>
        <w:t>“</w:t>
      </w:r>
      <w:r>
        <w:rPr>
          <w:sz w:val="32"/>
          <w:szCs w:val="32"/>
        </w:rPr>
        <w:t>双随机、一公开</w:t>
      </w:r>
      <w:r>
        <w:rPr>
          <w:rFonts w:hint="eastAsia"/>
          <w:sz w:val="32"/>
          <w:szCs w:val="32"/>
        </w:rPr>
        <w:t>”</w:t>
      </w:r>
      <w:r>
        <w:rPr>
          <w:sz w:val="32"/>
          <w:szCs w:val="32"/>
        </w:rPr>
        <w:t>监管工作的有关问题，每年6月、12月向联席会议办公室报送工作情况，联席会议办公室汇总后向总召集人、召集人汇报。</w:t>
      </w:r>
    </w:p>
    <w:p>
      <w:pPr>
        <w:pStyle w:val="14"/>
        <w:widowControl/>
        <w:spacing w:beforeAutospacing="0" w:afterAutospacing="0"/>
        <w:ind w:firstLine="640"/>
        <w:rPr>
          <w:sz w:val="32"/>
          <w:szCs w:val="32"/>
        </w:rPr>
      </w:pPr>
      <w:r>
        <w:rPr>
          <w:sz w:val="32"/>
          <w:szCs w:val="32"/>
        </w:rPr>
        <w:t>（五）各联席会议成员单位分别确定一名联络员，联络员因工作变动需要调整的，由所在单位及时调整，报联席会议办公室备案，继任着自然增补。</w:t>
      </w:r>
    </w:p>
    <w:p>
      <w:pPr>
        <w:ind w:firstLine="638" w:firstLineChars="202"/>
        <w:rPr>
          <w:rFonts w:eastAsia="黑体" w:cs="Times New Roman"/>
        </w:rPr>
      </w:pPr>
      <w:r>
        <w:rPr>
          <w:rFonts w:eastAsia="黑体" w:cs="Times New Roman"/>
        </w:rPr>
        <w:t>三、联席会议办公室职责</w:t>
      </w:r>
    </w:p>
    <w:p>
      <w:pPr>
        <w:pStyle w:val="14"/>
        <w:widowControl/>
        <w:spacing w:beforeAutospacing="0" w:afterAutospacing="0"/>
        <w:ind w:firstLine="638" w:firstLineChars="202"/>
        <w:rPr>
          <w:sz w:val="32"/>
          <w:szCs w:val="32"/>
        </w:rPr>
      </w:pPr>
      <w:r>
        <w:rPr>
          <w:sz w:val="32"/>
          <w:szCs w:val="32"/>
        </w:rPr>
        <w:t>联席会议办公室设在区</w:t>
      </w:r>
      <w:r>
        <w:rPr>
          <w:rFonts w:hint="eastAsia"/>
          <w:sz w:val="32"/>
          <w:szCs w:val="32"/>
        </w:rPr>
        <w:t>市</w:t>
      </w:r>
      <w:r>
        <w:rPr>
          <w:sz w:val="32"/>
          <w:szCs w:val="32"/>
        </w:rPr>
        <w:t>场监管局，由区</w:t>
      </w:r>
      <w:r>
        <w:rPr>
          <w:rFonts w:hint="eastAsia"/>
          <w:sz w:val="32"/>
          <w:szCs w:val="32"/>
        </w:rPr>
        <w:t>市</w:t>
      </w:r>
      <w:r>
        <w:rPr>
          <w:sz w:val="32"/>
          <w:szCs w:val="32"/>
        </w:rPr>
        <w:t>场监管局抽调人员组成，主要职责是：承担联席会议日常工作；负责联席会议的组织、联络和协调工作；研究提出区</w:t>
      </w:r>
      <w:r>
        <w:rPr>
          <w:rFonts w:hint="eastAsia"/>
          <w:sz w:val="32"/>
          <w:szCs w:val="32"/>
        </w:rPr>
        <w:t>市</w:t>
      </w:r>
      <w:r>
        <w:rPr>
          <w:sz w:val="32"/>
          <w:szCs w:val="32"/>
        </w:rPr>
        <w:t>场监管领域部门联合</w:t>
      </w:r>
      <w:r>
        <w:rPr>
          <w:rFonts w:hint="eastAsia"/>
          <w:sz w:val="32"/>
          <w:szCs w:val="32"/>
        </w:rPr>
        <w:t>“</w:t>
      </w:r>
      <w:r>
        <w:rPr>
          <w:sz w:val="32"/>
          <w:szCs w:val="32"/>
        </w:rPr>
        <w:t>双随机、一公开</w:t>
      </w:r>
      <w:r>
        <w:rPr>
          <w:rFonts w:hint="eastAsia"/>
          <w:sz w:val="32"/>
          <w:szCs w:val="32"/>
        </w:rPr>
        <w:t>”</w:t>
      </w:r>
      <w:r>
        <w:rPr>
          <w:sz w:val="32"/>
          <w:szCs w:val="32"/>
        </w:rPr>
        <w:t>监管工作建议；研究提出联席会议议题，做好会议筹备和起草会议纪要等工作；协调、督促各成员单位落实联席会议决定；组织督查各</w:t>
      </w:r>
      <w:r>
        <w:rPr>
          <w:rFonts w:hint="eastAsia"/>
          <w:sz w:val="32"/>
          <w:szCs w:val="32"/>
        </w:rPr>
        <w:t>部门“</w:t>
      </w:r>
      <w:r>
        <w:rPr>
          <w:sz w:val="32"/>
          <w:szCs w:val="32"/>
        </w:rPr>
        <w:t>双随机、一公开</w:t>
      </w:r>
      <w:r>
        <w:rPr>
          <w:rFonts w:hint="eastAsia"/>
          <w:sz w:val="32"/>
          <w:szCs w:val="32"/>
        </w:rPr>
        <w:t>”</w:t>
      </w:r>
      <w:r>
        <w:rPr>
          <w:sz w:val="32"/>
          <w:szCs w:val="32"/>
        </w:rPr>
        <w:t>监管工作开展情况；完成联席会议交办的其他事项。</w:t>
      </w:r>
    </w:p>
    <w:p>
      <w:pPr>
        <w:rPr>
          <w:rFonts w:cs="Times New Roman"/>
          <w:szCs w:val="32"/>
        </w:rPr>
      </w:pPr>
      <w:r>
        <w:rPr>
          <w:rFonts w:cs="Times New Roman"/>
          <w:szCs w:val="32"/>
        </w:rPr>
        <w:br w:type="page"/>
      </w:r>
    </w:p>
    <w:p>
      <w:pPr>
        <w:pStyle w:val="14"/>
        <w:widowControl/>
        <w:spacing w:beforeAutospacing="0" w:afterAutospacing="0"/>
        <w:rPr>
          <w:sz w:val="32"/>
          <w:szCs w:val="32"/>
        </w:rPr>
      </w:pPr>
    </w:p>
    <w:p>
      <w:pPr>
        <w:pStyle w:val="14"/>
        <w:widowControl/>
        <w:spacing w:beforeAutospacing="0" w:afterAutospacing="0"/>
        <w:rPr>
          <w:sz w:val="32"/>
          <w:szCs w:val="32"/>
        </w:rPr>
      </w:pPr>
    </w:p>
    <w:p>
      <w:pPr>
        <w:pStyle w:val="14"/>
        <w:widowControl/>
        <w:spacing w:beforeAutospacing="0" w:afterAutospacing="0"/>
        <w:rPr>
          <w:sz w:val="32"/>
          <w:szCs w:val="32"/>
        </w:rPr>
      </w:pPr>
    </w:p>
    <w:p>
      <w:pPr>
        <w:pStyle w:val="14"/>
        <w:widowControl/>
        <w:spacing w:beforeAutospacing="0" w:afterAutospacing="0"/>
        <w:rPr>
          <w:sz w:val="32"/>
          <w:szCs w:val="32"/>
        </w:rPr>
      </w:pPr>
    </w:p>
    <w:p>
      <w:pPr>
        <w:pStyle w:val="14"/>
        <w:widowControl/>
        <w:spacing w:beforeAutospacing="0" w:afterAutospacing="0"/>
        <w:rPr>
          <w:sz w:val="32"/>
          <w:szCs w:val="32"/>
        </w:rPr>
      </w:pPr>
    </w:p>
    <w:p>
      <w:pPr>
        <w:pStyle w:val="14"/>
        <w:widowControl/>
        <w:spacing w:beforeAutospacing="0" w:afterAutospacing="0"/>
        <w:rPr>
          <w:sz w:val="32"/>
          <w:szCs w:val="32"/>
        </w:rPr>
      </w:pPr>
    </w:p>
    <w:p>
      <w:pPr>
        <w:pStyle w:val="14"/>
        <w:widowControl/>
        <w:spacing w:beforeAutospacing="0" w:afterAutospacing="0"/>
        <w:rPr>
          <w:sz w:val="32"/>
          <w:szCs w:val="32"/>
        </w:rPr>
      </w:pPr>
    </w:p>
    <w:p>
      <w:pPr>
        <w:pStyle w:val="14"/>
        <w:widowControl/>
        <w:spacing w:beforeAutospacing="0" w:afterAutospacing="0"/>
        <w:rPr>
          <w:sz w:val="32"/>
          <w:szCs w:val="32"/>
        </w:rPr>
      </w:pPr>
    </w:p>
    <w:p>
      <w:pPr>
        <w:rPr>
          <w:rFonts w:cs="Times New Roman"/>
          <w:szCs w:val="32"/>
        </w:rPr>
      </w:pPr>
    </w:p>
    <w:p>
      <w:pPr>
        <w:rPr>
          <w:rFonts w:cs="Times New Roman"/>
          <w:szCs w:val="32"/>
        </w:rPr>
      </w:pPr>
    </w:p>
    <w:p>
      <w:pPr>
        <w:rPr>
          <w:rFonts w:cs="Times New Roman"/>
          <w:szCs w:val="32"/>
        </w:rPr>
      </w:pPr>
    </w:p>
    <w:p>
      <w:pPr>
        <w:rPr>
          <w:rFonts w:cs="Times New Roman"/>
          <w:szCs w:val="32"/>
        </w:rPr>
      </w:pPr>
    </w:p>
    <w:p>
      <w:pPr>
        <w:rPr>
          <w:rFonts w:cs="Times New Roman"/>
          <w:szCs w:val="32"/>
        </w:rPr>
      </w:pPr>
    </w:p>
    <w:p>
      <w:pPr>
        <w:rPr>
          <w:rFonts w:cs="Times New Roman"/>
          <w:szCs w:val="32"/>
        </w:rPr>
      </w:pPr>
    </w:p>
    <w:p>
      <w:pPr>
        <w:rPr>
          <w:rFonts w:cs="Times New Roman"/>
          <w:szCs w:val="32"/>
        </w:rPr>
      </w:pPr>
    </w:p>
    <w:p>
      <w:pPr>
        <w:rPr>
          <w:rFonts w:cs="Times New Roman"/>
          <w:szCs w:val="32"/>
        </w:rPr>
      </w:pPr>
    </w:p>
    <w:p>
      <w:pPr>
        <w:rPr>
          <w:rFonts w:cs="Times New Roman"/>
          <w:szCs w:val="32"/>
        </w:rPr>
      </w:pPr>
    </w:p>
    <w:p>
      <w:pPr>
        <w:rPr>
          <w:rFonts w:cs="Times New Roman"/>
          <w:szCs w:val="32"/>
        </w:rPr>
      </w:pPr>
    </w:p>
    <w:p>
      <w:pPr>
        <w:ind w:firstLine="276" w:firstLineChars="100"/>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1848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42.4pt;z-index:251659264;mso-width-relative:page;mso-height-relative:page;" filled="f" stroked="t" coordsize="21600,21600" o:gfxdata="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29vs0gAAAAIBAAAPAAAAAAAAAAEAIAAAACIAAABkcnMvZG93bnJldi54bWxQSwECFAAUAAAACACH&#10;TuJAqstkrvEBAADnAwAADgAAAAAAAAABACAAAAAhAQAAZHJzL2Uyb0RvYy54bWxQSwUGAAAAAAYA&#10;BgBZAQAAhAUAAAAA&#10;">
                <v:fill on="f" focussize="0,0"/>
                <v:stroke weight="1pt" color="#000000" joinstyle="round"/>
                <v:imagedata o:title=""/>
                <o:lock v:ext="edit" aspectratio="f"/>
              </v:line>
            </w:pict>
          </mc:Fallback>
        </mc:AlternateContent>
      </w:r>
      <w:r>
        <w:rPr>
          <w:sz w:val="28"/>
          <w:szCs w:val="28"/>
        </w:rPr>
        <w:t>抄送：区委各部门，区人大常委会，区政协，区法院，区检察院，</w:t>
      </w:r>
    </w:p>
    <w:p>
      <w:pPr>
        <w:ind w:firstLine="820" w:firstLineChars="297"/>
        <w:rPr>
          <w:sz w:val="28"/>
          <w:szCs w:val="28"/>
        </w:rPr>
      </w:pPr>
      <w:r>
        <w:rPr>
          <w:rFonts w:hint="eastAsia"/>
          <w:sz w:val="28"/>
          <w:szCs w:val="28"/>
        </w:rPr>
        <w:t>　</w:t>
      </w:r>
      <w:r>
        <w:rPr>
          <w:sz w:val="28"/>
          <w:szCs w:val="28"/>
        </w:rPr>
        <w:t>区人武部。</w:t>
      </w:r>
    </w:p>
    <w:p>
      <w:pPr>
        <w:ind w:firstLine="276" w:firstLineChars="100"/>
        <w:rPr>
          <w:rFonts w:cs="Times New Roman"/>
          <w:szCs w:val="32"/>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390525</wp:posOffset>
                </wp:positionV>
                <wp:extent cx="561848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0.75pt;height:0pt;width:442.4pt;z-index:251661312;mso-width-relative:page;mso-height-relative:page;" filled="f" stroked="t" coordsize="21600,21600" o:gfxdata="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Nte301QAAAAYBAAAPAAAAAAAAAAEAIAAAACIAAABkcnMvZG93bnJldi54bWxQSwECFAAUAAAA&#10;CACHTuJArRVWf/EBAADnAwAADgAAAAAAAAABACAAAAAkAQAAZHJzL2Uyb0RvYy54bWxQSwUGAAAA&#10;AAYABgBZAQAAhwUAAAAA&#10;">
                <v:fill on="f" focussize="0,0"/>
                <v:stroke weight="1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1848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42.4pt;z-index:251660288;mso-width-relative:page;mso-height-relative:page;" filled="f" stroked="t" coordsize="21600,21600" o:gfxdata="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Sp&#10;e7HRAAAAAgEAAA8AAAAAAAAAAQAgAAAAIgAAAGRycy9kb3ducmV2LnhtbFBLAQIUABQAAAAIAIdO&#10;4kBSnjS48QEAAOYDAAAOAAAAAAAAAAEAIAAAACABAABkcnMvZTJvRG9jLnhtbFBLBQYAAAAABgAG&#10;AFkBAACDBQAAAAA=&#10;">
                <v:fill on="f" focussize="0,0"/>
                <v:stroke color="#000000" joinstyle="round"/>
                <v:imagedata o:title=""/>
                <o:lock v:ext="edit" aspectratio="f"/>
              </v:line>
            </w:pict>
          </mc:Fallback>
        </mc:AlternateContent>
      </w:r>
      <w:r>
        <w:rPr>
          <w:sz w:val="28"/>
          <w:szCs w:val="28"/>
        </w:rPr>
        <w:t>菏泽市定陶区人民政府办公室　　　　　　　20</w:t>
      </w:r>
      <w:r>
        <w:rPr>
          <w:rFonts w:hint="eastAsia"/>
          <w:sz w:val="28"/>
          <w:szCs w:val="28"/>
        </w:rPr>
        <w:t>20</w:t>
      </w:r>
      <w:r>
        <w:rPr>
          <w:sz w:val="28"/>
          <w:szCs w:val="28"/>
        </w:rPr>
        <w:t>年</w:t>
      </w:r>
      <w:r>
        <w:rPr>
          <w:rFonts w:hint="eastAsia"/>
          <w:sz w:val="28"/>
          <w:szCs w:val="28"/>
        </w:rPr>
        <w:t>7</w:t>
      </w:r>
      <w:r>
        <w:rPr>
          <w:sz w:val="28"/>
          <w:szCs w:val="28"/>
        </w:rPr>
        <w:t>月</w:t>
      </w:r>
      <w:r>
        <w:rPr>
          <w:rFonts w:hint="eastAsia"/>
          <w:sz w:val="28"/>
          <w:szCs w:val="28"/>
        </w:rPr>
        <w:t>22</w:t>
      </w:r>
      <w:r>
        <w:rPr>
          <w:sz w:val="28"/>
          <w:szCs w:val="28"/>
        </w:rPr>
        <w:t>日印发</w:t>
      </w:r>
    </w:p>
    <w:sectPr>
      <w:footerReference r:id="rId3" w:type="default"/>
      <w:pgSz w:w="11907" w:h="16840" w:orient="landscape"/>
      <w:pgMar w:top="1701" w:right="1531" w:bottom="1588" w:left="1531" w:header="851" w:footer="992" w:gutter="0"/>
      <w:cols w:space="0" w:num="1"/>
      <w:docGrid w:type="linesAndChars" w:linePitch="64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320" w:leftChars="100" w:right="320" w:rightChars="10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320" w:leftChars="100" w:right="320" w:rightChars="100"/>
                          </w:pPr>
                          <w:r>
                            <w:rPr>
                              <w:rStyle w:val="18"/>
                              <w:rFonts w:hint="eastAsia" w:ascii="宋体" w:hAnsi="宋体"/>
                              <w:sz w:val="28"/>
                              <w:szCs w:val="28"/>
                            </w:rPr>
                            <w:t xml:space="preserve">— </w:t>
                          </w: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12</w:t>
                          </w:r>
                          <w:r>
                            <w:rPr>
                              <w:rFonts w:ascii="宋体" w:hAnsi="宋体"/>
                              <w:sz w:val="28"/>
                              <w:szCs w:val="28"/>
                            </w:rPr>
                            <w:fldChar w:fldCharType="end"/>
                          </w:r>
                          <w:r>
                            <w:rPr>
                              <w:rStyle w:val="18"/>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ind w:left="320" w:leftChars="100" w:right="320" w:rightChars="100"/>
                    </w:pPr>
                    <w:r>
                      <w:rPr>
                        <w:rStyle w:val="18"/>
                        <w:rFonts w:hint="eastAsia" w:ascii="宋体" w:hAnsi="宋体"/>
                        <w:sz w:val="28"/>
                        <w:szCs w:val="28"/>
                      </w:rPr>
                      <w:t xml:space="preserve">— </w:t>
                    </w: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12</w:t>
                    </w:r>
                    <w:r>
                      <w:rPr>
                        <w:rFonts w:ascii="宋体" w:hAnsi="宋体"/>
                        <w:sz w:val="28"/>
                        <w:szCs w:val="28"/>
                      </w:rPr>
                      <w:fldChar w:fldCharType="end"/>
                    </w:r>
                    <w:r>
                      <w:rPr>
                        <w:rStyle w:val="18"/>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323"/>
  <w:displayHorizontalDrawingGridEvery w:val="2"/>
  <w:displayVerticalDrawingGridEvery w:val="2"/>
  <w:noPunctuationKerning w:val="1"/>
  <w:characterSpacingControl w:val="compressPunctuation"/>
  <w:printTwoOnOne w:val="1"/>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C8"/>
    <w:rsid w:val="00137FC8"/>
    <w:rsid w:val="00456C86"/>
    <w:rsid w:val="00620087"/>
    <w:rsid w:val="006D16CF"/>
    <w:rsid w:val="00825BC7"/>
    <w:rsid w:val="00B14329"/>
    <w:rsid w:val="00B60EEE"/>
    <w:rsid w:val="00E82046"/>
    <w:rsid w:val="087E4548"/>
    <w:rsid w:val="12F803F6"/>
    <w:rsid w:val="14E35AB6"/>
    <w:rsid w:val="1D8B677A"/>
    <w:rsid w:val="2266262C"/>
    <w:rsid w:val="236D00B0"/>
    <w:rsid w:val="2CFF59A6"/>
    <w:rsid w:val="302418DA"/>
    <w:rsid w:val="3864341F"/>
    <w:rsid w:val="3DA65724"/>
    <w:rsid w:val="3F5E4B35"/>
    <w:rsid w:val="409223F0"/>
    <w:rsid w:val="46325783"/>
    <w:rsid w:val="49C32B84"/>
    <w:rsid w:val="4BDF753A"/>
    <w:rsid w:val="4CFC127A"/>
    <w:rsid w:val="54207AF5"/>
    <w:rsid w:val="589535C0"/>
    <w:rsid w:val="5D3A3EC5"/>
    <w:rsid w:val="65FA49B3"/>
    <w:rsid w:val="6DAF6CFA"/>
    <w:rsid w:val="71F71BD5"/>
    <w:rsid w:val="7EA50A58"/>
    <w:rsid w:val="7F7EC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19"/>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rPr>
  </w:style>
  <w:style w:type="paragraph" w:styleId="4">
    <w:name w:val="heading 3"/>
    <w:basedOn w:val="1"/>
    <w:next w:val="1"/>
    <w:unhideWhenUsed/>
    <w:qFormat/>
    <w:uiPriority w:val="0"/>
    <w:pPr>
      <w:keepNext/>
      <w:keepLines/>
      <w:spacing w:before="260" w:after="260" w:line="413" w:lineRule="auto"/>
      <w:outlineLvl w:val="2"/>
    </w:pPr>
    <w:rPr>
      <w:b/>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paragraph" w:styleId="7">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after="64" w:line="317" w:lineRule="auto"/>
      <w:outlineLvl w:val="6"/>
    </w:pPr>
    <w:rPr>
      <w:b/>
      <w:sz w:val="24"/>
    </w:rPr>
  </w:style>
  <w:style w:type="paragraph" w:styleId="9">
    <w:name w:val="heading 8"/>
    <w:basedOn w:val="1"/>
    <w:next w:val="1"/>
    <w:unhideWhenUsed/>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unhideWhenUsed/>
    <w:qFormat/>
    <w:uiPriority w:val="0"/>
    <w:pPr>
      <w:keepNext/>
      <w:keepLines/>
      <w:spacing w:before="240" w:after="64" w:line="317" w:lineRule="auto"/>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20"/>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rFonts w:cs="Times New Roman"/>
      <w:kern w:val="0"/>
      <w:sz w:val="24"/>
    </w:rPr>
  </w:style>
  <w:style w:type="character" w:styleId="17">
    <w:name w:val="Strong"/>
    <w:basedOn w:val="16"/>
    <w:qFormat/>
    <w:uiPriority w:val="0"/>
    <w:rPr>
      <w:b/>
    </w:rPr>
  </w:style>
  <w:style w:type="character" w:styleId="18">
    <w:name w:val="page number"/>
    <w:basedOn w:val="16"/>
    <w:unhideWhenUsed/>
    <w:qFormat/>
    <w:uiPriority w:val="99"/>
  </w:style>
  <w:style w:type="character" w:customStyle="1" w:styleId="19">
    <w:name w:val="标题 1 Char"/>
    <w:link w:val="2"/>
    <w:qFormat/>
    <w:uiPriority w:val="0"/>
    <w:rPr>
      <w:b/>
      <w:kern w:val="44"/>
      <w:sz w:val="44"/>
    </w:rPr>
  </w:style>
  <w:style w:type="character" w:customStyle="1" w:styleId="20">
    <w:name w:val="批注框文本 Char"/>
    <w:basedOn w:val="16"/>
    <w:link w:val="11"/>
    <w:qFormat/>
    <w:uiPriority w:val="0"/>
    <w:rPr>
      <w:rFonts w:eastAsia="仿宋_GB2312"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4254</Words>
  <Characters>4288</Characters>
  <Lines>31</Lines>
  <Paragraphs>8</Paragraphs>
  <TotalTime>15</TotalTime>
  <ScaleCrop>false</ScaleCrop>
  <LinksUpToDate>false</LinksUpToDate>
  <CharactersWithSpaces>4334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2020-07-06T08:49:00Z</dcterms:created>
  <dc:creator>Administrator</dc:creator>
  <cp:lastModifiedBy>遇见花开</cp:lastModifiedBy>
  <cp:lastPrinted>2020-07-27T09:08:00Z</cp:lastPrinted>
  <dcterms:modified xsi:type="dcterms:W3CDTF">2023-08-30T07:35:52Z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98E7FB8B8C254576887BAD7FD4E16C70_13</vt:lpwstr>
  </property>
</Properties>
</file>