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23425">
      <w:pPr>
        <w:overflowPunct w:val="0"/>
        <w:autoSpaceDE/>
        <w:autoSpaceDN/>
        <w:jc w:val="center"/>
        <w:rPr>
          <w:rFonts w:ascii="Times New Roman" w:hAnsi="Times New Roman" w:cs="Times New Roman"/>
          <w:kern w:val="0"/>
          <w:szCs w:val="32"/>
          <w:lang w:val="zh-CN" w:bidi="zh-CN"/>
        </w:rPr>
      </w:pPr>
    </w:p>
    <w:p w14:paraId="50E66A01">
      <w:pPr>
        <w:overflowPunct w:val="0"/>
        <w:autoSpaceDE/>
        <w:autoSpaceDN/>
        <w:jc w:val="left"/>
        <w:rPr>
          <w:rFonts w:ascii="Times New Roman" w:hAnsi="Times New Roman" w:cs="Times New Roman"/>
          <w:kern w:val="0"/>
          <w:szCs w:val="32"/>
          <w:lang w:val="zh-CN" w:bidi="zh-CN"/>
        </w:rPr>
      </w:pPr>
    </w:p>
    <w:p w14:paraId="43EEBEA4">
      <w:pPr>
        <w:overflowPunct w:val="0"/>
        <w:autoSpaceDE/>
        <w:autoSpaceDN/>
        <w:jc w:val="left"/>
        <w:rPr>
          <w:rFonts w:ascii="Times New Roman" w:hAnsi="Times New Roman" w:cs="Times New Roman"/>
          <w:kern w:val="0"/>
          <w:szCs w:val="32"/>
          <w:lang w:val="zh-CN" w:bidi="zh-CN"/>
        </w:rPr>
      </w:pPr>
    </w:p>
    <w:p w14:paraId="2B3C4516">
      <w:pPr>
        <w:overflowPunct w:val="0"/>
        <w:autoSpaceDE/>
        <w:autoSpaceDN/>
        <w:jc w:val="left"/>
        <w:rPr>
          <w:rFonts w:ascii="Times New Roman" w:hAnsi="Times New Roman" w:cs="Times New Roman"/>
          <w:kern w:val="0"/>
          <w:szCs w:val="32"/>
          <w:lang w:val="zh-CN" w:bidi="zh-CN"/>
        </w:rPr>
      </w:pPr>
    </w:p>
    <w:p w14:paraId="3B267A5A">
      <w:pPr>
        <w:overflowPunct w:val="0"/>
        <w:autoSpaceDE/>
        <w:autoSpaceDN/>
        <w:jc w:val="left"/>
        <w:rPr>
          <w:rFonts w:ascii="Times New Roman" w:hAnsi="Times New Roman" w:cs="Times New Roman"/>
          <w:kern w:val="0"/>
          <w:szCs w:val="32"/>
          <w:lang w:val="zh-CN" w:bidi="zh-CN"/>
        </w:rPr>
      </w:pPr>
    </w:p>
    <w:p w14:paraId="0CE3BC36">
      <w:pPr>
        <w:overflowPunct w:val="0"/>
        <w:autoSpaceDE/>
        <w:autoSpaceDN/>
        <w:jc w:val="left"/>
        <w:rPr>
          <w:rFonts w:ascii="Times New Roman" w:hAnsi="Times New Roman" w:cs="Times New Roman"/>
          <w:kern w:val="0"/>
          <w:szCs w:val="32"/>
          <w:lang w:val="zh-CN" w:bidi="zh-CN"/>
        </w:rPr>
      </w:pPr>
    </w:p>
    <w:p w14:paraId="4EE2576F">
      <w:pPr>
        <w:overflowPunct w:val="0"/>
        <w:autoSpaceDE/>
        <w:autoSpaceDN/>
        <w:jc w:val="left"/>
        <w:rPr>
          <w:rFonts w:ascii="Times New Roman" w:hAnsi="Times New Roman" w:cs="Times New Roman"/>
          <w:kern w:val="0"/>
          <w:szCs w:val="32"/>
          <w:lang w:val="zh-CN" w:bidi="zh-CN"/>
        </w:rPr>
      </w:pPr>
    </w:p>
    <w:p w14:paraId="06335F61">
      <w:pPr>
        <w:overflowPunct w:val="0"/>
        <w:autoSpaceDE/>
        <w:autoSpaceDN/>
        <w:jc w:val="center"/>
        <w:rPr>
          <w:rFonts w:ascii="Times New Roman" w:hAnsi="Times New Roman" w:cs="Times New Roman"/>
          <w:kern w:val="0"/>
          <w:szCs w:val="32"/>
          <w:lang w:val="zh-CN" w:bidi="zh-CN"/>
        </w:rPr>
      </w:pPr>
      <w:r>
        <w:rPr>
          <w:rFonts w:ascii="Times New Roman" w:hAnsi="Times New Roman" w:cs="Times New Roman"/>
          <w:kern w:val="0"/>
          <w:szCs w:val="32"/>
          <w:lang w:val="zh-CN" w:bidi="zh-CN"/>
        </w:rPr>
        <w:t>菏定</w:t>
      </w:r>
      <w:r>
        <w:rPr>
          <w:rFonts w:hint="eastAsia" w:ascii="Times New Roman" w:hAnsi="Times New Roman" w:cs="Times New Roman"/>
          <w:kern w:val="0"/>
          <w:szCs w:val="32"/>
          <w:lang w:val="en-US" w:bidi="zh-CN"/>
        </w:rPr>
        <w:t>政</w:t>
      </w:r>
      <w:r>
        <w:rPr>
          <w:rFonts w:hint="eastAsia" w:ascii="Times New Roman" w:hAnsi="Times New Roman" w:cs="Times New Roman"/>
          <w:kern w:val="0"/>
          <w:szCs w:val="22"/>
          <w:lang w:val="en-US" w:bidi="zh-CN"/>
        </w:rPr>
        <w:t>发</w:t>
      </w:r>
      <w:r>
        <w:rPr>
          <w:rFonts w:ascii="Times New Roman" w:hAnsi="Times New Roman" w:cs="Times New Roman"/>
          <w:kern w:val="0"/>
          <w:szCs w:val="32"/>
          <w:lang w:val="zh-CN" w:bidi="zh-CN"/>
        </w:rPr>
        <w:t>〔20</w:t>
      </w:r>
      <w:r>
        <w:rPr>
          <w:rFonts w:hint="eastAsia" w:ascii="Times New Roman" w:hAnsi="Times New Roman" w:cs="Times New Roman"/>
          <w:kern w:val="0"/>
          <w:szCs w:val="32"/>
          <w:lang w:val="en-US" w:bidi="zh-CN"/>
        </w:rPr>
        <w:t>2</w:t>
      </w:r>
      <w:r>
        <w:rPr>
          <w:rFonts w:hint="eastAsia" w:ascii="Times New Roman" w:hAnsi="Times New Roman" w:cs="Times New Roman"/>
          <w:kern w:val="0"/>
          <w:szCs w:val="32"/>
          <w:lang w:val="en-US" w:eastAsia="zh-CN" w:bidi="zh-CN"/>
        </w:rPr>
        <w:t>6</w:t>
      </w:r>
      <w:r>
        <w:rPr>
          <w:rFonts w:ascii="Times New Roman" w:hAnsi="Times New Roman" w:cs="Times New Roman"/>
          <w:kern w:val="0"/>
          <w:szCs w:val="32"/>
          <w:lang w:val="zh-CN" w:bidi="zh-CN"/>
        </w:rPr>
        <w:t>〕</w:t>
      </w:r>
      <w:r>
        <w:rPr>
          <w:rFonts w:hint="eastAsia" w:ascii="Times New Roman" w:hAnsi="Times New Roman" w:cs="Times New Roman"/>
          <w:kern w:val="0"/>
          <w:szCs w:val="32"/>
          <w:lang w:val="en-US" w:eastAsia="zh-CN" w:bidi="zh-CN"/>
        </w:rPr>
        <w:t>3</w:t>
      </w:r>
      <w:r>
        <w:rPr>
          <w:rFonts w:ascii="Times New Roman" w:hAnsi="Times New Roman" w:cs="Times New Roman"/>
          <w:kern w:val="0"/>
          <w:szCs w:val="32"/>
          <w:lang w:val="zh-CN" w:bidi="zh-CN"/>
        </w:rPr>
        <w:t>号</w:t>
      </w:r>
    </w:p>
    <w:p w14:paraId="237E60D8">
      <w:pPr>
        <w:overflowPunct w:val="0"/>
        <w:autoSpaceDE/>
        <w:autoSpaceDN/>
        <w:jc w:val="both"/>
        <w:rPr>
          <w:rFonts w:ascii="Times New Roman" w:hAnsi="Times New Roman" w:cs="Times New Roman"/>
          <w:kern w:val="0"/>
          <w:szCs w:val="32"/>
          <w:lang w:val="zh-CN" w:bidi="zh-CN"/>
        </w:rPr>
      </w:pPr>
    </w:p>
    <w:p w14:paraId="3B329F84">
      <w:pPr>
        <w:overflowPunct w:val="0"/>
        <w:autoSpaceDE/>
        <w:autoSpaceDN/>
        <w:spacing w:line="620" w:lineRule="exact"/>
        <w:jc w:val="center"/>
        <w:rPr>
          <w:rFonts w:hint="eastAsia" w:ascii="方正小标宋_GBK" w:hAnsi="方正小标宋_GBK" w:eastAsia="方正小标宋_GBK" w:cs="方正小标宋_GBK"/>
          <w:kern w:val="0"/>
          <w:sz w:val="44"/>
          <w:szCs w:val="44"/>
          <w:lang w:val="en-US" w:bidi="zh-CN"/>
        </w:rPr>
      </w:pPr>
      <w:r>
        <w:rPr>
          <w:rFonts w:hint="eastAsia" w:ascii="方正小标宋_GBK" w:hAnsi="方正小标宋_GBK" w:eastAsia="方正小标宋_GBK" w:cs="方正小标宋_GBK"/>
          <w:kern w:val="0"/>
          <w:sz w:val="44"/>
          <w:szCs w:val="44"/>
          <w:lang w:val="en-US" w:bidi="zh-CN"/>
        </w:rPr>
        <w:t>菏泽市定陶区人民政府</w:t>
      </w:r>
    </w:p>
    <w:p w14:paraId="4A0B931A">
      <w:pPr>
        <w:overflowPunct w:val="0"/>
        <w:autoSpaceDE/>
        <w:autoSpaceDN/>
        <w:spacing w:line="620" w:lineRule="exact"/>
        <w:jc w:val="center"/>
        <w:rPr>
          <w:rFonts w:hint="default" w:ascii="方正小标宋_GBK" w:hAnsi="方正小标宋_GBK" w:eastAsia="方正小标宋_GBK" w:cs="方正小标宋_GBK"/>
          <w:kern w:val="2"/>
          <w:sz w:val="44"/>
          <w:szCs w:val="44"/>
          <w:lang w:val="en-US" w:eastAsia="zh-CN" w:bidi="ar-SA"/>
        </w:rPr>
      </w:pPr>
      <w:r>
        <w:rPr>
          <w:rFonts w:hint="eastAsia" w:ascii="方正小标宋_GBK" w:hAnsi="方正小标宋_GBK" w:eastAsia="方正小标宋_GBK" w:cs="方正小标宋_GBK"/>
          <w:kern w:val="2"/>
          <w:sz w:val="44"/>
          <w:szCs w:val="44"/>
          <w:lang w:val="zh-CN" w:bidi="ar-SA"/>
        </w:rPr>
        <w:t>关于印发</w:t>
      </w:r>
      <w:r>
        <w:rPr>
          <w:rFonts w:hint="eastAsia" w:ascii="方正小标宋_GBK" w:hAnsi="方正小标宋_GBK" w:eastAsia="方正小标宋_GBK" w:cs="方正小标宋_GBK"/>
          <w:kern w:val="2"/>
          <w:sz w:val="44"/>
          <w:szCs w:val="44"/>
          <w:lang w:val="zh-CN" w:eastAsia="zh-CN" w:bidi="ar-SA"/>
        </w:rPr>
        <w:t>《</w:t>
      </w:r>
      <w:r>
        <w:rPr>
          <w:rFonts w:hint="eastAsia" w:ascii="方正小标宋_GBK" w:hAnsi="方正小标宋_GBK" w:eastAsia="方正小标宋_GBK" w:cs="方正小标宋_GBK"/>
          <w:kern w:val="2"/>
          <w:sz w:val="44"/>
          <w:szCs w:val="44"/>
          <w:lang w:val="en-US" w:eastAsia="zh-CN" w:bidi="ar-SA"/>
        </w:rPr>
        <w:t>菏泽市定陶区国民经济和社会发展第十五个五年规划纲要</w:t>
      </w:r>
      <w:r>
        <w:rPr>
          <w:rFonts w:hint="eastAsia" w:ascii="方正小标宋_GBK" w:hAnsi="方正小标宋_GBK" w:eastAsia="方正小标宋_GBK" w:cs="方正小标宋_GBK"/>
          <w:kern w:val="2"/>
          <w:sz w:val="44"/>
          <w:szCs w:val="44"/>
          <w:lang w:val="zh-CN" w:eastAsia="zh-CN" w:bidi="ar-SA"/>
        </w:rPr>
        <w:t>》</w:t>
      </w:r>
      <w:r>
        <w:rPr>
          <w:rFonts w:hint="eastAsia" w:ascii="方正小标宋_GBK" w:hAnsi="方正小标宋_GBK" w:eastAsia="方正小标宋_GBK" w:cs="方正小标宋_GBK"/>
          <w:kern w:val="2"/>
          <w:sz w:val="44"/>
          <w:szCs w:val="44"/>
          <w:lang w:val="en-US" w:eastAsia="zh-CN" w:bidi="ar-SA"/>
        </w:rPr>
        <w:t>的通知</w:t>
      </w:r>
    </w:p>
    <w:p w14:paraId="1F469481">
      <w:pPr>
        <w:widowControl w:val="0"/>
        <w:overflowPunct w:val="0"/>
        <w:autoSpaceDE w:val="0"/>
        <w:autoSpaceDN w:val="0"/>
        <w:rPr>
          <w:rFonts w:ascii="Times New Roman" w:hAnsi="Times New Roman" w:eastAsia="仿宋_GB2312" w:cs="Times New Roman"/>
          <w:sz w:val="32"/>
          <w:szCs w:val="32"/>
          <w:lang w:val="zh-CN" w:eastAsia="zh-CN" w:bidi="zh-CN"/>
        </w:rPr>
      </w:pPr>
    </w:p>
    <w:p w14:paraId="56A6407A">
      <w:pPr>
        <w:keepNext w:val="0"/>
        <w:keepLines w:val="0"/>
        <w:pageBreakBefore w:val="0"/>
        <w:widowControl w:val="0"/>
        <w:kinsoku/>
        <w:overflowPunct w:val="0"/>
        <w:topLinePunct w:val="0"/>
        <w:autoSpaceDE/>
        <w:autoSpaceDN/>
        <w:bidi w:val="0"/>
        <w:adjustRightInd/>
        <w:snapToGrid/>
        <w:spacing w:line="480" w:lineRule="exact"/>
        <w:jc w:val="both"/>
        <w:textAlignment w:val="auto"/>
        <w:rPr>
          <w:rFonts w:ascii="Times New Roman" w:hAnsi="Times New Roman" w:cs="Times New Roman"/>
          <w:kern w:val="2"/>
          <w:szCs w:val="32"/>
          <w:lang w:val="en-US" w:bidi="ar-SA"/>
        </w:rPr>
      </w:pPr>
      <w:r>
        <w:rPr>
          <w:rFonts w:ascii="Times New Roman" w:hAnsi="Times New Roman" w:cs="Times New Roman"/>
          <w:kern w:val="2"/>
          <w:szCs w:val="32"/>
          <w:lang w:val="en-US" w:bidi="ar-SA"/>
        </w:rPr>
        <w:t>各镇人民政府、街道办事处，区政府各部门：</w:t>
      </w:r>
    </w:p>
    <w:p w14:paraId="6EE58D7D">
      <w:pPr>
        <w:keepNext w:val="0"/>
        <w:keepLines w:val="0"/>
        <w:pageBreakBefore w:val="0"/>
        <w:widowControl w:val="0"/>
        <w:kinsoku/>
        <w:overflowPunct w:val="0"/>
        <w:topLinePunct w:val="0"/>
        <w:autoSpaceDE w:val="0"/>
        <w:autoSpaceDN w:val="0"/>
        <w:bidi w:val="0"/>
        <w:adjustRightInd/>
        <w:snapToGrid/>
        <w:spacing w:line="480" w:lineRule="exact"/>
        <w:ind w:firstLine="628"/>
        <w:textAlignment w:val="auto"/>
        <w:rPr>
          <w:rFonts w:ascii="Times New Roman" w:hAnsi="Times New Roman" w:eastAsia="仿宋_GB2312" w:cs="Times New Roman"/>
          <w:sz w:val="32"/>
          <w:szCs w:val="32"/>
          <w:lang w:val="zh-CN" w:eastAsia="zh-CN" w:bidi="zh-CN"/>
        </w:rPr>
      </w:pPr>
      <w:r>
        <w:rPr>
          <w:rFonts w:ascii="Times New Roman" w:hAnsi="Times New Roman" w:eastAsia="仿宋_GB2312" w:cs="Times New Roman"/>
          <w:sz w:val="32"/>
          <w:szCs w:val="32"/>
          <w:lang w:val="zh-CN" w:eastAsia="zh-CN" w:bidi="zh-CN"/>
        </w:rPr>
        <w:t>《菏泽市定陶区</w:t>
      </w:r>
      <w:r>
        <w:rPr>
          <w:rFonts w:hint="eastAsia" w:ascii="Times New Roman" w:hAnsi="Times New Roman" w:eastAsia="仿宋_GB2312" w:cs="Times New Roman"/>
          <w:sz w:val="32"/>
          <w:szCs w:val="32"/>
          <w:lang w:val="en-US" w:eastAsia="zh-CN" w:bidi="zh-CN"/>
        </w:rPr>
        <w:t>国民经济和社会发展第十五个五年规划纲要</w:t>
      </w:r>
      <w:r>
        <w:rPr>
          <w:rFonts w:ascii="Times New Roman" w:hAnsi="Times New Roman" w:eastAsia="仿宋_GB2312" w:cs="Times New Roman"/>
          <w:sz w:val="32"/>
          <w:szCs w:val="32"/>
          <w:lang w:val="zh-CN" w:eastAsia="zh-CN" w:bidi="zh-CN"/>
        </w:rPr>
        <w:t>》</w:t>
      </w:r>
      <w:r>
        <w:rPr>
          <w:rFonts w:hint="eastAsia" w:ascii="Times New Roman" w:hAnsi="Times New Roman" w:eastAsia="仿宋_GB2312" w:cs="Times New Roman"/>
          <w:sz w:val="32"/>
          <w:szCs w:val="32"/>
          <w:lang w:val="en-US" w:eastAsia="zh-CN" w:bidi="zh-CN"/>
        </w:rPr>
        <w:t>已经菏泽市定陶区第十九届人民代表大会第五次会议审议通过，现</w:t>
      </w:r>
      <w:r>
        <w:rPr>
          <w:rFonts w:ascii="Times New Roman" w:hAnsi="Times New Roman" w:eastAsia="仿宋_GB2312" w:cs="Times New Roman"/>
          <w:sz w:val="32"/>
          <w:szCs w:val="32"/>
          <w:lang w:val="zh-CN" w:eastAsia="zh-CN" w:bidi="zh-CN"/>
        </w:rPr>
        <w:t>印发给你们，请认真贯彻执行。</w:t>
      </w:r>
    </w:p>
    <w:p w14:paraId="44A667D3">
      <w:pPr>
        <w:keepNext w:val="0"/>
        <w:keepLines w:val="0"/>
        <w:pageBreakBefore w:val="0"/>
        <w:widowControl w:val="0"/>
        <w:kinsoku/>
        <w:overflowPunct w:val="0"/>
        <w:topLinePunct w:val="0"/>
        <w:autoSpaceDE w:val="0"/>
        <w:autoSpaceDN w:val="0"/>
        <w:bidi w:val="0"/>
        <w:adjustRightInd/>
        <w:snapToGrid/>
        <w:spacing w:line="480" w:lineRule="exact"/>
        <w:ind w:firstLine="628"/>
        <w:textAlignment w:val="auto"/>
        <w:rPr>
          <w:rFonts w:ascii="Times New Roman" w:hAnsi="Times New Roman" w:eastAsia="仿宋_GB2312" w:cs="Times New Roman"/>
          <w:sz w:val="32"/>
          <w:szCs w:val="32"/>
          <w:lang w:val="zh-CN" w:eastAsia="zh-CN" w:bidi="zh-CN"/>
        </w:rPr>
      </w:pPr>
    </w:p>
    <w:p w14:paraId="1325527F">
      <w:pPr>
        <w:keepNext w:val="0"/>
        <w:keepLines w:val="0"/>
        <w:pageBreakBefore w:val="0"/>
        <w:widowControl w:val="0"/>
        <w:kinsoku/>
        <w:overflowPunct w:val="0"/>
        <w:topLinePunct w:val="0"/>
        <w:autoSpaceDE w:val="0"/>
        <w:autoSpaceDN w:val="0"/>
        <w:bidi w:val="0"/>
        <w:adjustRightInd/>
        <w:snapToGrid/>
        <w:spacing w:line="480" w:lineRule="exact"/>
        <w:ind w:left="1577" w:leftChars="198" w:hanging="952" w:firstLineChars="0"/>
        <w:textAlignment w:val="auto"/>
        <w:rPr>
          <w:rFonts w:hint="default" w:ascii="Times New Roman" w:hAnsi="Times New Roman" w:eastAsia="仿宋_GB2312" w:cs="Times New Roman"/>
          <w:sz w:val="32"/>
          <w:szCs w:val="32"/>
          <w:lang w:val="en-US" w:eastAsia="zh-CN" w:bidi="zh-CN"/>
        </w:rPr>
      </w:pPr>
      <w:r>
        <w:rPr>
          <w:rFonts w:hint="eastAsia" w:ascii="Times New Roman" w:hAnsi="Times New Roman" w:eastAsia="仿宋_GB2312" w:cs="Times New Roman"/>
          <w:sz w:val="32"/>
          <w:szCs w:val="32"/>
          <w:lang w:val="en-US" w:eastAsia="zh-CN" w:bidi="zh-CN"/>
        </w:rPr>
        <w:t>附件：</w:t>
      </w:r>
      <w:r>
        <w:rPr>
          <w:rFonts w:ascii="Times New Roman" w:hAnsi="Times New Roman" w:eastAsia="仿宋_GB2312" w:cs="Times New Roman"/>
          <w:sz w:val="32"/>
          <w:szCs w:val="32"/>
          <w:lang w:val="zh-CN" w:eastAsia="zh-CN" w:bidi="zh-CN"/>
        </w:rPr>
        <w:t>菏泽市定陶区</w:t>
      </w:r>
      <w:r>
        <w:rPr>
          <w:rFonts w:hint="eastAsia" w:ascii="Times New Roman" w:hAnsi="Times New Roman" w:eastAsia="仿宋_GB2312" w:cs="Times New Roman"/>
          <w:sz w:val="32"/>
          <w:szCs w:val="32"/>
          <w:lang w:val="en-US" w:eastAsia="zh-CN" w:bidi="zh-CN"/>
        </w:rPr>
        <w:t>国民经济和社会发展第十五个五年规划纲要</w:t>
      </w:r>
    </w:p>
    <w:p w14:paraId="06EC6DFF">
      <w:pPr>
        <w:keepNext w:val="0"/>
        <w:keepLines w:val="0"/>
        <w:pageBreakBefore w:val="0"/>
        <w:widowControl w:val="0"/>
        <w:kinsoku/>
        <w:overflowPunct w:val="0"/>
        <w:topLinePunct w:val="0"/>
        <w:autoSpaceDE w:val="0"/>
        <w:autoSpaceDN w:val="0"/>
        <w:bidi w:val="0"/>
        <w:adjustRightInd/>
        <w:snapToGrid/>
        <w:spacing w:line="480" w:lineRule="exact"/>
        <w:textAlignment w:val="auto"/>
        <w:rPr>
          <w:rFonts w:ascii="Times New Roman" w:hAnsi="Times New Roman" w:eastAsia="仿宋_GB2312" w:cs="Times New Roman"/>
          <w:sz w:val="32"/>
          <w:szCs w:val="32"/>
          <w:lang w:val="zh-CN" w:eastAsia="zh-CN" w:bidi="zh-CN"/>
        </w:rPr>
      </w:pPr>
    </w:p>
    <w:p w14:paraId="5C497F14">
      <w:pPr>
        <w:keepNext w:val="0"/>
        <w:keepLines w:val="0"/>
        <w:pageBreakBefore w:val="0"/>
        <w:widowControl w:val="0"/>
        <w:kinsoku/>
        <w:wordWrap w:val="0"/>
        <w:overflowPunct w:val="0"/>
        <w:topLinePunct w:val="0"/>
        <w:autoSpaceDE w:val="0"/>
        <w:autoSpaceDN w:val="0"/>
        <w:bidi w:val="0"/>
        <w:adjustRightInd/>
        <w:snapToGrid/>
        <w:spacing w:line="480" w:lineRule="exact"/>
        <w:jc w:val="right"/>
        <w:textAlignment w:val="auto"/>
        <w:rPr>
          <w:rFonts w:ascii="Times New Roman" w:hAnsi="Times New Roman" w:eastAsia="仿宋_GB2312" w:cs="Times New Roman"/>
          <w:sz w:val="32"/>
          <w:szCs w:val="32"/>
          <w:lang w:val="zh-CN" w:eastAsia="zh-CN" w:bidi="zh-CN"/>
        </w:rPr>
      </w:pPr>
      <w:r>
        <w:rPr>
          <w:rFonts w:ascii="Times New Roman" w:hAnsi="Times New Roman" w:eastAsia="仿宋_GB2312" w:cs="Times New Roman"/>
          <w:sz w:val="32"/>
          <w:szCs w:val="32"/>
          <w:lang w:val="zh-CN" w:eastAsia="zh-CN" w:bidi="zh-CN"/>
        </w:rPr>
        <w:t>菏泽市定陶区人民政府</w:t>
      </w:r>
      <w:r>
        <w:rPr>
          <w:rFonts w:hint="eastAsia" w:ascii="Times New Roman" w:hAnsi="Times New Roman" w:eastAsia="仿宋_GB2312" w:cs="Times New Roman"/>
          <w:sz w:val="32"/>
          <w:szCs w:val="32"/>
          <w:lang w:val="zh-CN" w:eastAsia="zh-CN" w:bidi="zh-CN"/>
        </w:rPr>
        <w:t>　　</w:t>
      </w:r>
    </w:p>
    <w:p w14:paraId="02AA17E9">
      <w:pPr>
        <w:keepNext w:val="0"/>
        <w:keepLines w:val="0"/>
        <w:pageBreakBefore w:val="0"/>
        <w:widowControl w:val="0"/>
        <w:kinsoku/>
        <w:wordWrap w:val="0"/>
        <w:overflowPunct w:val="0"/>
        <w:topLinePunct w:val="0"/>
        <w:autoSpaceDE w:val="0"/>
        <w:autoSpaceDN w:val="0"/>
        <w:bidi w:val="0"/>
        <w:adjustRightInd/>
        <w:snapToGrid/>
        <w:spacing w:line="480" w:lineRule="exact"/>
        <w:jc w:val="right"/>
        <w:textAlignment w:val="auto"/>
        <w:rPr>
          <w:rFonts w:ascii="Times New Roman" w:hAnsi="Times New Roman" w:eastAsia="仿宋_GB2312" w:cs="Times New Roman"/>
          <w:sz w:val="32"/>
          <w:szCs w:val="32"/>
          <w:lang w:val="zh-CN" w:eastAsia="zh-CN" w:bidi="zh-CN"/>
        </w:rPr>
      </w:pPr>
      <w:r>
        <w:rPr>
          <w:rFonts w:ascii="Times New Roman" w:hAnsi="Times New Roman" w:eastAsia="仿宋_GB2312" w:cs="Times New Roman"/>
          <w:sz w:val="32"/>
          <w:szCs w:val="32"/>
          <w:lang w:val="zh-CN" w:eastAsia="zh-CN" w:bidi="zh-CN"/>
        </w:rPr>
        <w:t>202</w:t>
      </w:r>
      <w:r>
        <w:rPr>
          <w:rFonts w:hint="eastAsia" w:ascii="Times New Roman" w:hAnsi="Times New Roman" w:eastAsia="仿宋_GB2312" w:cs="Times New Roman"/>
          <w:sz w:val="32"/>
          <w:szCs w:val="32"/>
          <w:lang w:val="en-US" w:eastAsia="zh-CN" w:bidi="zh-CN"/>
        </w:rPr>
        <w:t>6</w:t>
      </w:r>
      <w:r>
        <w:rPr>
          <w:rFonts w:ascii="Times New Roman" w:hAnsi="Times New Roman" w:eastAsia="仿宋_GB2312" w:cs="Times New Roman"/>
          <w:sz w:val="32"/>
          <w:szCs w:val="32"/>
          <w:lang w:val="zh-CN" w:eastAsia="zh-CN" w:bidi="zh-CN"/>
        </w:rPr>
        <w:t>年</w:t>
      </w:r>
      <w:r>
        <w:rPr>
          <w:rFonts w:hint="eastAsia" w:ascii="Times New Roman" w:hAnsi="Times New Roman" w:eastAsia="仿宋_GB2312" w:cs="Times New Roman"/>
          <w:sz w:val="32"/>
          <w:szCs w:val="32"/>
          <w:lang w:val="en-US" w:eastAsia="zh-CN" w:bidi="zh-CN"/>
        </w:rPr>
        <w:t>6</w:t>
      </w:r>
      <w:r>
        <w:rPr>
          <w:rFonts w:ascii="Times New Roman" w:hAnsi="Times New Roman" w:eastAsia="仿宋_GB2312" w:cs="Times New Roman"/>
          <w:sz w:val="32"/>
          <w:szCs w:val="32"/>
          <w:lang w:val="zh-CN" w:eastAsia="zh-CN" w:bidi="zh-CN"/>
        </w:rPr>
        <w:t>月</w:t>
      </w:r>
      <w:r>
        <w:rPr>
          <w:rFonts w:hint="eastAsia" w:ascii="Times New Roman" w:hAnsi="Times New Roman" w:eastAsia="仿宋_GB2312" w:cs="Times New Roman"/>
          <w:sz w:val="32"/>
          <w:szCs w:val="32"/>
          <w:lang w:val="en-US" w:eastAsia="zh-CN" w:bidi="zh-CN"/>
        </w:rPr>
        <w:t>29</w:t>
      </w:r>
      <w:r>
        <w:rPr>
          <w:rFonts w:ascii="Times New Roman" w:hAnsi="Times New Roman" w:eastAsia="仿宋_GB2312" w:cs="Times New Roman"/>
          <w:sz w:val="32"/>
          <w:szCs w:val="32"/>
          <w:lang w:val="en-US" w:eastAsia="zh-CN" w:bidi="zh-CN"/>
        </w:rPr>
        <w:t>日</w:t>
      </w:r>
      <w:r>
        <w:rPr>
          <w:rFonts w:hint="eastAsia" w:ascii="Times New Roman" w:hAnsi="Times New Roman" w:eastAsia="仿宋_GB2312" w:cs="Times New Roman"/>
          <w:sz w:val="32"/>
          <w:szCs w:val="32"/>
          <w:lang w:val="en-US" w:eastAsia="zh-CN" w:bidi="zh-CN"/>
        </w:rPr>
        <w:t>　　　　</w:t>
      </w:r>
    </w:p>
    <w:p w14:paraId="565DC952">
      <w:pPr>
        <w:keepNext w:val="0"/>
        <w:keepLines w:val="0"/>
        <w:pageBreakBefore w:val="0"/>
        <w:widowControl w:val="0"/>
        <w:kinsoku/>
        <w:overflowPunct w:val="0"/>
        <w:topLinePunct w:val="0"/>
        <w:autoSpaceDE w:val="0"/>
        <w:autoSpaceDN w:val="0"/>
        <w:bidi w:val="0"/>
        <w:adjustRightInd/>
        <w:snapToGrid/>
        <w:spacing w:line="480" w:lineRule="exact"/>
        <w:ind w:firstLine="628"/>
        <w:textAlignment w:val="auto"/>
        <w:rPr>
          <w:rFonts w:hint="eastAsia" w:ascii="Times New Roman" w:hAnsi="Times New Roman" w:eastAsia="仿宋_GB2312" w:cs="Times New Roman"/>
          <w:sz w:val="32"/>
          <w:szCs w:val="32"/>
          <w:lang w:val="en-US" w:eastAsia="zh-CN" w:bidi="zh-CN"/>
        </w:rPr>
      </w:pPr>
      <w:r>
        <w:rPr>
          <w:rFonts w:hint="eastAsia" w:ascii="Times New Roman" w:hAnsi="Times New Roman" w:eastAsia="仿宋_GB2312" w:cs="Times New Roman"/>
          <w:sz w:val="32"/>
          <w:szCs w:val="32"/>
          <w:lang w:val="en-US" w:eastAsia="zh-CN" w:bidi="zh-CN"/>
        </w:rPr>
        <w:t>（此件公开发布）</w:t>
      </w:r>
    </w:p>
    <w:p w14:paraId="47DF5CF3">
      <w:pPr>
        <w:autoSpaceDE w:val="0"/>
        <w:autoSpaceDN w:val="0"/>
        <w:ind w:firstLine="316" w:firstLineChars="100"/>
        <w:jc w:val="left"/>
        <w:rPr>
          <w:rFonts w:ascii="Times New Roman" w:hAnsi="Times New Roman" w:cs="方正仿宋_GBK"/>
          <w:kern w:val="0"/>
          <w:szCs w:val="22"/>
          <w:lang w:val="zh-CN" w:bidi="zh-CN"/>
        </w:rPr>
      </w:pPr>
    </w:p>
    <w:p w14:paraId="3E3C5BFD">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1130F4D7">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647E829A">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003D06DD">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3D9E5647">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6B05A04A">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4D6A496E">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17093BB8">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2E93ED5D">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0B6FBAED">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00C06F42">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44C4035C">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215AB79F">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0ECCFE4D">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5CA46170">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0D8A9263">
      <w:pPr>
        <w:widowControl w:val="0"/>
        <w:autoSpaceDE w:val="0"/>
        <w:autoSpaceDN w:val="0"/>
        <w:ind w:firstLine="632" w:firstLineChars="200"/>
        <w:jc w:val="both"/>
        <w:textAlignment w:val="baseline"/>
        <w:rPr>
          <w:rFonts w:ascii="Times New Roman" w:hAnsi="Times New Roman" w:eastAsia="仿宋_GB2312" w:cs="方正仿宋_GBK"/>
          <w:sz w:val="32"/>
          <w:szCs w:val="22"/>
          <w:lang w:val="zh-CN" w:eastAsia="zh-CN" w:bidi="zh-CN"/>
        </w:rPr>
      </w:pPr>
    </w:p>
    <w:p w14:paraId="4E98D049">
      <w:pPr>
        <w:widowControl w:val="0"/>
        <w:autoSpaceDE w:val="0"/>
        <w:autoSpaceDN w:val="0"/>
        <w:ind w:left="0" w:leftChars="0" w:firstLine="0" w:firstLineChars="0"/>
        <w:jc w:val="both"/>
        <w:textAlignment w:val="baseline"/>
        <w:rPr>
          <w:rFonts w:hint="eastAsia" w:ascii="方正小标宋简体" w:hAnsi="方正小标宋简体" w:eastAsia="方正小标宋简体" w:cs="方正小标宋简体"/>
          <w:kern w:val="2"/>
          <w:sz w:val="44"/>
          <w:szCs w:val="44"/>
          <w:lang w:val="en-US" w:eastAsia="zh-CN" w:bidi="ar-SA"/>
        </w:rPr>
      </w:pPr>
    </w:p>
    <w:p w14:paraId="3AA797AF">
      <w:pPr>
        <w:autoSpaceDE w:val="0"/>
        <w:autoSpaceDN w:val="0"/>
        <w:ind w:firstLine="276" w:firstLineChars="100"/>
        <w:jc w:val="left"/>
        <w:rPr>
          <w:rFonts w:ascii="Times New Roman" w:hAnsi="Times New Roman" w:cs="方正仿宋_GBK"/>
          <w:kern w:val="0"/>
          <w:sz w:val="28"/>
          <w:szCs w:val="28"/>
          <w:lang w:val="zh-CN" w:bidi="zh-CN"/>
        </w:rPr>
      </w:pPr>
      <w:r>
        <w:rPr>
          <w:rFonts w:ascii="Times New Roman" w:hAnsi="Times New Roman" w:cs="方正仿宋_GBK"/>
          <w:kern w:val="0"/>
          <w:sz w:val="28"/>
          <w:szCs w:val="28"/>
          <w:lang w:val="en-US"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61848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1848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42.4pt;z-index:251660288;mso-width-relative:page;mso-height-relative:page;" filled="f" stroked="t" coordsize="21600,21600" o:gfxdata="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29vs0gAAAAIBAAAPAAAAAAAAAAEAIAAAACIAAABkcnMvZG93bnJldi54bWxQSwECFAAUAAAACACH&#10;TuJAqstkrvEBAADnAwAADgAAAAAAAAABACAAAAAhAQAAZHJzL2Uyb0RvYy54bWxQSwUGAAAAAAYA&#10;BgBZAQAAhAUAAAAA&#10;">
                <v:fill on="f" focussize="0,0"/>
                <v:stroke weight="1pt" color="#000000" joinstyle="round"/>
                <v:imagedata o:title=""/>
                <o:lock v:ext="edit" aspectratio="f"/>
              </v:line>
            </w:pict>
          </mc:Fallback>
        </mc:AlternateContent>
      </w:r>
      <w:r>
        <w:rPr>
          <w:rFonts w:ascii="Times New Roman" w:hAnsi="Times New Roman" w:cs="方正仿宋_GBK"/>
          <w:kern w:val="0"/>
          <w:sz w:val="28"/>
          <w:szCs w:val="28"/>
          <w:lang w:val="zh-CN" w:bidi="zh-CN"/>
        </w:rPr>
        <w:t>抄送：区委各部门，区人大常委会，区政协，区法院，区检察院，</w:t>
      </w:r>
    </w:p>
    <w:p w14:paraId="4904D36A">
      <w:pPr>
        <w:autoSpaceDE w:val="0"/>
        <w:autoSpaceDN w:val="0"/>
        <w:ind w:firstLine="820" w:firstLineChars="297"/>
        <w:jc w:val="left"/>
        <w:rPr>
          <w:rFonts w:ascii="Times New Roman" w:hAnsi="Times New Roman" w:cs="方正仿宋_GBK"/>
          <w:kern w:val="0"/>
          <w:sz w:val="28"/>
          <w:szCs w:val="28"/>
          <w:lang w:val="zh-CN" w:bidi="zh-CN"/>
        </w:rPr>
      </w:pPr>
      <w:r>
        <w:rPr>
          <w:rFonts w:hint="eastAsia" w:ascii="Times New Roman" w:hAnsi="Times New Roman" w:cs="方正仿宋_GBK"/>
          <w:kern w:val="0"/>
          <w:sz w:val="28"/>
          <w:szCs w:val="28"/>
          <w:lang w:val="zh-CN" w:bidi="zh-CN"/>
        </w:rPr>
        <w:t>　</w:t>
      </w:r>
      <w:r>
        <w:rPr>
          <w:rFonts w:ascii="Times New Roman" w:hAnsi="Times New Roman" w:cs="方正仿宋_GBK"/>
          <w:kern w:val="0"/>
          <w:sz w:val="28"/>
          <w:szCs w:val="28"/>
          <w:lang w:val="zh-CN" w:bidi="zh-CN"/>
        </w:rPr>
        <w:t>区人武部。</w:t>
      </w:r>
    </w:p>
    <w:p w14:paraId="485D1F61">
      <w:pPr>
        <w:autoSpaceDE w:val="0"/>
        <w:autoSpaceDN w:val="0"/>
        <w:ind w:firstLine="276" w:firstLineChars="100"/>
        <w:jc w:val="left"/>
        <w:rPr>
          <w:rFonts w:ascii="Times New Roman" w:hAnsi="Times New Roman" w:cs="方正仿宋_GBK"/>
          <w:kern w:val="0"/>
          <w:szCs w:val="22"/>
          <w:lang w:val="zh-CN" w:bidi="zh-CN"/>
        </w:rPr>
      </w:pPr>
      <w:r>
        <w:rPr>
          <w:rFonts w:ascii="Times New Roman" w:hAnsi="Times New Roman" w:cs="方正仿宋_GBK"/>
          <w:kern w:val="0"/>
          <w:sz w:val="28"/>
          <w:szCs w:val="28"/>
          <w:lang w:val="en-US" w:bidi="ar-S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389890</wp:posOffset>
                </wp:positionV>
                <wp:extent cx="561848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1848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30.7pt;height:0pt;width:442.4pt;z-index:251662336;mso-width-relative:page;mso-height-relative:page;" filled="f" stroked="t" coordsize="21600,21600" o:gfxdata="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4X+21QAAAAYBAAAPAAAAAAAAAAEAIAAAACIAAABkcnMvZG93bnJldi54bWxQSwECFAAUAAAA&#10;CACHTuJArRVWf/EBAADnAwAADgAAAAAAAAABACAAAAAkAQAAZHJzL2Uyb0RvYy54bWxQSwUGAAAA&#10;AAYABgBZAQAAhwUAAAAA&#10;">
                <v:fill on="f" focussize="0,0"/>
                <v:stroke weight="1pt" color="#000000" joinstyle="round"/>
                <v:imagedata o:title=""/>
                <o:lock v:ext="edit" aspectratio="f"/>
              </v:line>
            </w:pict>
          </mc:Fallback>
        </mc:AlternateContent>
      </w:r>
      <w:r>
        <w:rPr>
          <w:rFonts w:ascii="Times New Roman" w:hAnsi="Times New Roman" w:cs="方正仿宋_GBK"/>
          <w:kern w:val="0"/>
          <w:sz w:val="28"/>
          <w:szCs w:val="28"/>
          <w:lang w:val="en-US"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618480"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561848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42.4pt;z-index:251661312;mso-width-relative:page;mso-height-relative:page;" filled="f" stroked="t" coordsize="21600,21600" o:gfxdata="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Sp&#10;e7HRAAAAAgEAAA8AAAAAAAAAAQAgAAAAIgAAAGRycy9kb3ducmV2LnhtbFBLAQIUABQAAAAIAIdO&#10;4kBSnjS48QEAAOYDAAAOAAAAAAAAAAEAIAAAACABAABkcnMvZTJvRG9jLnhtbFBLBQYAAAAABgAG&#10;AFkBAACDBQAAAAA=&#10;">
                <v:fill on="f" focussize="0,0"/>
                <v:stroke color="#000000" joinstyle="round"/>
                <v:imagedata o:title=""/>
                <o:lock v:ext="edit" aspectratio="f"/>
              </v:line>
            </w:pict>
          </mc:Fallback>
        </mc:AlternateContent>
      </w:r>
      <w:r>
        <w:rPr>
          <w:rFonts w:ascii="Times New Roman" w:hAnsi="Times New Roman" w:cs="方正仿宋_GBK"/>
          <w:kern w:val="0"/>
          <w:sz w:val="28"/>
          <w:szCs w:val="28"/>
          <w:lang w:val="zh-CN" w:bidi="zh-CN"/>
        </w:rPr>
        <w:t>菏泽市定陶区人民政府办公室　　　　</w:t>
      </w:r>
      <w:r>
        <w:rPr>
          <w:rFonts w:hint="eastAsia" w:ascii="Times New Roman" w:hAnsi="Times New Roman" w:cs="方正仿宋_GBK"/>
          <w:kern w:val="0"/>
          <w:sz w:val="28"/>
          <w:szCs w:val="28"/>
          <w:lang w:val="en-US" w:bidi="zh-CN"/>
        </w:rPr>
        <w:t xml:space="preserve">  </w:t>
      </w:r>
      <w:r>
        <w:rPr>
          <w:rFonts w:ascii="Times New Roman" w:hAnsi="Times New Roman" w:cs="方正仿宋_GBK"/>
          <w:kern w:val="0"/>
          <w:sz w:val="28"/>
          <w:szCs w:val="28"/>
          <w:lang w:val="zh-CN" w:bidi="zh-CN"/>
        </w:rPr>
        <w:t>　　　　20</w:t>
      </w:r>
      <w:r>
        <w:rPr>
          <w:rFonts w:hint="eastAsia" w:ascii="Times New Roman" w:hAnsi="Times New Roman" w:cs="方正仿宋_GBK"/>
          <w:kern w:val="0"/>
          <w:sz w:val="28"/>
          <w:szCs w:val="28"/>
          <w:lang w:val="en-US" w:bidi="zh-CN"/>
        </w:rPr>
        <w:t>2</w:t>
      </w:r>
      <w:r>
        <w:rPr>
          <w:rFonts w:hint="eastAsia" w:ascii="Times New Roman" w:hAnsi="Times New Roman" w:cs="方正仿宋_GBK"/>
          <w:kern w:val="0"/>
          <w:sz w:val="28"/>
          <w:szCs w:val="28"/>
          <w:lang w:val="en-US" w:eastAsia="zh-CN" w:bidi="zh-CN"/>
        </w:rPr>
        <w:t>6</w:t>
      </w:r>
      <w:r>
        <w:rPr>
          <w:rFonts w:ascii="Times New Roman" w:hAnsi="Times New Roman" w:cs="方正仿宋_GBK"/>
          <w:kern w:val="0"/>
          <w:sz w:val="28"/>
          <w:szCs w:val="28"/>
          <w:lang w:val="zh-CN" w:bidi="zh-CN"/>
        </w:rPr>
        <w:t>年</w:t>
      </w:r>
      <w:r>
        <w:rPr>
          <w:rFonts w:hint="eastAsia" w:ascii="Times New Roman" w:hAnsi="Times New Roman" w:cs="方正仿宋_GBK"/>
          <w:kern w:val="0"/>
          <w:sz w:val="28"/>
          <w:szCs w:val="28"/>
          <w:lang w:val="en-US" w:eastAsia="zh-CN" w:bidi="zh-CN"/>
        </w:rPr>
        <w:t>6</w:t>
      </w:r>
      <w:r>
        <w:rPr>
          <w:rFonts w:ascii="Times New Roman" w:hAnsi="Times New Roman" w:cs="方正仿宋_GBK"/>
          <w:kern w:val="0"/>
          <w:sz w:val="28"/>
          <w:szCs w:val="28"/>
          <w:lang w:val="zh-CN" w:bidi="zh-CN"/>
        </w:rPr>
        <w:t>月</w:t>
      </w:r>
      <w:r>
        <w:rPr>
          <w:rFonts w:hint="eastAsia" w:ascii="Times New Roman" w:hAnsi="Times New Roman" w:cs="方正仿宋_GBK"/>
          <w:kern w:val="0"/>
          <w:sz w:val="28"/>
          <w:szCs w:val="28"/>
          <w:lang w:val="en-US" w:eastAsia="zh-CN" w:bidi="zh-CN"/>
        </w:rPr>
        <w:t>29</w:t>
      </w:r>
      <w:r>
        <w:rPr>
          <w:rFonts w:ascii="Times New Roman" w:hAnsi="Times New Roman" w:cs="方正仿宋_GBK"/>
          <w:kern w:val="0"/>
          <w:sz w:val="28"/>
          <w:szCs w:val="28"/>
          <w:lang w:val="zh-CN" w:bidi="zh-CN"/>
        </w:rPr>
        <w:t>日印发</w:t>
      </w:r>
    </w:p>
    <w:p w14:paraId="3F374CA2">
      <w:pPr>
        <w:pStyle w:val="7"/>
        <w:pageBreakBefore w:val="0"/>
        <w:shd w:val="clear"/>
        <w:kinsoku/>
        <w:overflowPunct w:val="0"/>
        <w:topLinePunct w:val="0"/>
        <w:autoSpaceDE/>
        <w:autoSpaceDN/>
        <w:bidi w:val="0"/>
        <w:adjustRightInd w:val="0"/>
        <w:snapToGrid w:val="0"/>
        <w:spacing w:line="600" w:lineRule="exact"/>
        <w:jc w:val="both"/>
        <w:rPr>
          <w:rFonts w:hint="default" w:ascii="Times New Roman" w:hAnsi="Times New Roman" w:eastAsia="黑体" w:cs="Times New Roman"/>
          <w:color w:val="auto"/>
          <w:spacing w:val="0"/>
          <w:sz w:val="32"/>
          <w:szCs w:val="32"/>
          <w:highlight w:val="none"/>
          <w:u w:val="none" w:color="auto"/>
          <w:lang w:eastAsia="zh-CN"/>
        </w:rPr>
        <w:sectPr>
          <w:footerReference r:id="rId3" w:type="default"/>
          <w:pgSz w:w="11906" w:h="16838"/>
          <w:pgMar w:top="1701" w:right="1531" w:bottom="1587" w:left="1531" w:header="851" w:footer="992" w:gutter="0"/>
          <w:pgNumType w:fmt="decimal" w:start="1"/>
          <w:cols w:space="0" w:num="1"/>
          <w:rtlGutter w:val="0"/>
          <w:docGrid w:type="linesAndChars" w:linePitch="615" w:charSpace="-849"/>
        </w:sectPr>
      </w:pPr>
      <w:bookmarkStart w:id="169" w:name="_GoBack"/>
      <w:bookmarkEnd w:id="169"/>
    </w:p>
    <w:p w14:paraId="256C59B4">
      <w:pPr>
        <w:rPr>
          <w:rFonts w:hint="default"/>
          <w:lang w:eastAsia="zh-CN"/>
        </w:rPr>
      </w:pPr>
    </w:p>
    <w:p w14:paraId="3B18C65F">
      <w:pPr>
        <w:pStyle w:val="7"/>
        <w:pageBreakBefore w:val="0"/>
        <w:shd w:val="clear"/>
        <w:kinsoku/>
        <w:overflowPunct w:val="0"/>
        <w:topLinePunct w:val="0"/>
        <w:autoSpaceDE/>
        <w:autoSpaceDN/>
        <w:bidi w:val="0"/>
        <w:adjustRightInd w:val="0"/>
        <w:snapToGrid w:val="0"/>
        <w:spacing w:line="600" w:lineRule="exact"/>
        <w:jc w:val="both"/>
        <w:rPr>
          <w:rFonts w:hint="default" w:ascii="Times New Roman" w:hAnsi="Times New Roman" w:eastAsia="黑体" w:cs="Times New Roman"/>
          <w:color w:val="auto"/>
          <w:spacing w:val="0"/>
          <w:sz w:val="32"/>
          <w:szCs w:val="32"/>
          <w:highlight w:val="none"/>
          <w:u w:val="none" w:color="auto"/>
          <w:lang w:eastAsia="zh-CN"/>
        </w:rPr>
      </w:pPr>
    </w:p>
    <w:p w14:paraId="363EE991">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600" w:lineRule="exact"/>
        <w:ind w:right="0"/>
        <w:jc w:val="both"/>
        <w:textAlignment w:val="auto"/>
        <w:rPr>
          <w:rStyle w:val="19"/>
          <w:rFonts w:hint="default" w:ascii="Times New Roman" w:hAnsi="Times New Roman" w:eastAsia="方正小标宋简体" w:cs="Times New Roman"/>
          <w:b w:val="0"/>
          <w:bCs w:val="0"/>
          <w:i w:val="0"/>
          <w:iCs w:val="0"/>
          <w:caps w:val="0"/>
          <w:color w:val="auto"/>
          <w:spacing w:val="0"/>
          <w:sz w:val="48"/>
          <w:szCs w:val="48"/>
          <w:highlight w:val="none"/>
          <w:u w:val="none" w:color="auto"/>
          <w:shd w:val="clear" w:fill="FFFFFF"/>
        </w:rPr>
      </w:pPr>
    </w:p>
    <w:p w14:paraId="4184E4EB">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600" w:lineRule="exact"/>
        <w:ind w:right="0"/>
        <w:jc w:val="center"/>
        <w:textAlignment w:val="auto"/>
        <w:rPr>
          <w:rStyle w:val="19"/>
          <w:rFonts w:hint="default" w:ascii="Times New Roman" w:hAnsi="Times New Roman" w:eastAsia="方正小标宋简体" w:cs="Times New Roman"/>
          <w:b w:val="0"/>
          <w:bCs w:val="0"/>
          <w:i w:val="0"/>
          <w:iCs w:val="0"/>
          <w:caps w:val="0"/>
          <w:color w:val="auto"/>
          <w:spacing w:val="0"/>
          <w:sz w:val="48"/>
          <w:szCs w:val="48"/>
          <w:highlight w:val="none"/>
          <w:u w:val="none" w:color="auto"/>
          <w:shd w:val="clear" w:fill="FFFFFF"/>
        </w:rPr>
      </w:pPr>
    </w:p>
    <w:p w14:paraId="7A868359">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240" w:lineRule="auto"/>
        <w:ind w:right="0"/>
        <w:jc w:val="center"/>
        <w:textAlignment w:val="auto"/>
        <w:rPr>
          <w:rStyle w:val="19"/>
          <w:rFonts w:hint="default" w:ascii="Times New Roman" w:hAnsi="Times New Roman" w:eastAsia="方正小标宋简体" w:cs="Times New Roman"/>
          <w:b w:val="0"/>
          <w:bCs w:val="0"/>
          <w:i w:val="0"/>
          <w:iCs w:val="0"/>
          <w:caps w:val="0"/>
          <w:color w:val="auto"/>
          <w:spacing w:val="0"/>
          <w:sz w:val="52"/>
          <w:szCs w:val="52"/>
          <w:highlight w:val="none"/>
          <w:u w:val="none" w:color="auto"/>
          <w:shd w:val="clear" w:fill="FFFFFF"/>
        </w:rPr>
      </w:pPr>
    </w:p>
    <w:p w14:paraId="67E61776">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240" w:lineRule="auto"/>
        <w:ind w:right="0"/>
        <w:jc w:val="center"/>
        <w:textAlignment w:val="auto"/>
        <w:rPr>
          <w:rStyle w:val="19"/>
          <w:rFonts w:hint="default" w:ascii="Times New Roman" w:hAnsi="Times New Roman" w:eastAsia="方正小标宋简体" w:cs="Times New Roman"/>
          <w:b w:val="0"/>
          <w:bCs w:val="0"/>
          <w:i w:val="0"/>
          <w:iCs w:val="0"/>
          <w:caps w:val="0"/>
          <w:color w:val="auto"/>
          <w:spacing w:val="0"/>
          <w:sz w:val="58"/>
          <w:szCs w:val="58"/>
          <w:highlight w:val="none"/>
          <w:u w:val="none" w:color="auto"/>
          <w:shd w:val="clear" w:fill="FFFFFF"/>
        </w:rPr>
      </w:pPr>
      <w:r>
        <w:rPr>
          <w:rStyle w:val="19"/>
          <w:rFonts w:hint="default" w:ascii="Times New Roman" w:hAnsi="Times New Roman" w:eastAsia="方正小标宋简体" w:cs="Times New Roman"/>
          <w:b w:val="0"/>
          <w:bCs w:val="0"/>
          <w:i w:val="0"/>
          <w:iCs w:val="0"/>
          <w:caps w:val="0"/>
          <w:color w:val="auto"/>
          <w:spacing w:val="0"/>
          <w:sz w:val="58"/>
          <w:szCs w:val="58"/>
          <w:highlight w:val="none"/>
          <w:u w:val="none" w:color="auto"/>
          <w:shd w:val="clear" w:fill="FFFFFF"/>
        </w:rPr>
        <w:t>菏泽市定陶区国民经济和社会发展</w:t>
      </w:r>
    </w:p>
    <w:p w14:paraId="22378A85">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240" w:lineRule="auto"/>
        <w:ind w:right="0"/>
        <w:jc w:val="center"/>
        <w:textAlignment w:val="auto"/>
        <w:rPr>
          <w:rStyle w:val="19"/>
          <w:rFonts w:hint="default" w:ascii="Times New Roman" w:hAnsi="Times New Roman" w:eastAsia="方正小标宋简体" w:cs="Times New Roman"/>
          <w:b w:val="0"/>
          <w:bCs w:val="0"/>
          <w:i w:val="0"/>
          <w:iCs w:val="0"/>
          <w:caps w:val="0"/>
          <w:color w:val="auto"/>
          <w:spacing w:val="0"/>
          <w:sz w:val="58"/>
          <w:szCs w:val="58"/>
          <w:highlight w:val="none"/>
          <w:u w:val="none" w:color="auto"/>
          <w:shd w:val="clear" w:fill="FFFFFF"/>
          <w:lang w:val="en-US" w:eastAsia="zh-CN"/>
        </w:rPr>
      </w:pPr>
      <w:r>
        <w:rPr>
          <w:rStyle w:val="19"/>
          <w:rFonts w:hint="default" w:ascii="Times New Roman" w:hAnsi="Times New Roman" w:eastAsia="方正小标宋简体" w:cs="Times New Roman"/>
          <w:b w:val="0"/>
          <w:bCs w:val="0"/>
          <w:i w:val="0"/>
          <w:iCs w:val="0"/>
          <w:caps w:val="0"/>
          <w:color w:val="auto"/>
          <w:spacing w:val="0"/>
          <w:sz w:val="58"/>
          <w:szCs w:val="58"/>
          <w:highlight w:val="none"/>
          <w:u w:val="none" w:color="auto"/>
          <w:shd w:val="clear" w:fill="FFFFFF"/>
          <w:lang w:val="en-US" w:eastAsia="zh-CN"/>
        </w:rPr>
        <w:t>第十五个五年规划纲要</w:t>
      </w:r>
    </w:p>
    <w:p w14:paraId="03A3003E">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400" w:lineRule="exact"/>
        <w:ind w:right="0"/>
        <w:jc w:val="center"/>
        <w:textAlignment w:val="auto"/>
        <w:rPr>
          <w:rStyle w:val="19"/>
          <w:rFonts w:hint="eastAsia" w:ascii="楷体_GB2312" w:hAnsi="楷体_GB2312" w:eastAsia="楷体_GB2312" w:cs="楷体_GB2312"/>
          <w:b w:val="0"/>
          <w:bCs w:val="0"/>
          <w:i w:val="0"/>
          <w:iCs w:val="0"/>
          <w:caps w:val="0"/>
          <w:color w:val="auto"/>
          <w:spacing w:val="0"/>
          <w:sz w:val="50"/>
          <w:szCs w:val="50"/>
          <w:highlight w:val="none"/>
          <w:u w:val="none" w:color="auto"/>
          <w:shd w:val="clear" w:fill="FFFFFF"/>
          <w:lang w:val="en-US" w:eastAsia="zh-CN"/>
        </w:rPr>
      </w:pPr>
    </w:p>
    <w:p w14:paraId="4D6567B0">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240" w:lineRule="auto"/>
        <w:ind w:right="0"/>
        <w:jc w:val="center"/>
        <w:textAlignment w:val="auto"/>
        <w:rPr>
          <w:rStyle w:val="19"/>
          <w:rFonts w:hint="eastAsia" w:ascii="楷体_GB2312" w:hAnsi="楷体_GB2312" w:eastAsia="楷体_GB2312" w:cs="楷体_GB2312"/>
          <w:b w:val="0"/>
          <w:bCs w:val="0"/>
          <w:i w:val="0"/>
          <w:iCs w:val="0"/>
          <w:caps w:val="0"/>
          <w:color w:val="auto"/>
          <w:spacing w:val="0"/>
          <w:sz w:val="50"/>
          <w:szCs w:val="50"/>
          <w:highlight w:val="none"/>
          <w:u w:val="none" w:color="auto"/>
          <w:shd w:val="clear" w:fill="FFFFFF"/>
          <w:lang w:val="en-US" w:eastAsia="zh-CN"/>
        </w:rPr>
      </w:pPr>
    </w:p>
    <w:p w14:paraId="4546DBA8">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7415C973">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71C3629C">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457ADE26">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7345E2C7">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71291FB9">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14B3AD48">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2044253E">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378358BF">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14161F3C">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4D4B9105">
      <w:pPr>
        <w:shd w:val="clear"/>
        <w:overflowPunct w:val="0"/>
        <w:rPr>
          <w:rFonts w:hint="default" w:ascii="Times New Roman" w:hAnsi="Times New Roman" w:eastAsia="仿宋_GB2312" w:cs="Times New Roman"/>
          <w:color w:val="auto"/>
          <w:spacing w:val="0"/>
          <w:sz w:val="36"/>
          <w:szCs w:val="36"/>
          <w:highlight w:val="none"/>
          <w:u w:val="none" w:color="auto"/>
          <w:lang w:val="en-US" w:eastAsia="zh-CN"/>
        </w:rPr>
      </w:pPr>
    </w:p>
    <w:p w14:paraId="0D4E9E10">
      <w:pPr>
        <w:shd w:val="clear"/>
        <w:overflowPunct w:val="0"/>
        <w:jc w:val="center"/>
        <w:rPr>
          <w:rFonts w:hint="default" w:ascii="Times New Roman" w:hAnsi="Times New Roman" w:eastAsia="仿宋_GB2312" w:cs="Times New Roman"/>
          <w:color w:val="auto"/>
          <w:spacing w:val="0"/>
          <w:sz w:val="36"/>
          <w:szCs w:val="36"/>
          <w:highlight w:val="none"/>
          <w:u w:val="none" w:color="auto"/>
          <w:lang w:val="en-US" w:eastAsia="zh-CN"/>
        </w:rPr>
      </w:pPr>
      <w:r>
        <w:rPr>
          <w:rFonts w:hint="default" w:ascii="Times New Roman" w:hAnsi="Times New Roman" w:eastAsia="黑体" w:cs="Times New Roman"/>
          <w:color w:val="auto"/>
          <w:spacing w:val="0"/>
          <w:sz w:val="36"/>
          <w:szCs w:val="36"/>
          <w:highlight w:val="none"/>
          <w:u w:val="none" w:color="auto"/>
          <w:lang w:val="en-US" w:eastAsia="zh-CN"/>
        </w:rPr>
        <w:t>2026年</w:t>
      </w:r>
      <w:r>
        <w:rPr>
          <w:rFonts w:hint="eastAsia" w:ascii="Times New Roman" w:hAnsi="Times New Roman" w:eastAsia="黑体" w:cs="Times New Roman"/>
          <w:color w:val="auto"/>
          <w:spacing w:val="0"/>
          <w:sz w:val="36"/>
          <w:szCs w:val="36"/>
          <w:highlight w:val="none"/>
          <w:u w:val="none" w:color="auto"/>
          <w:lang w:val="en-US" w:eastAsia="zh-CN"/>
        </w:rPr>
        <w:t>6</w:t>
      </w:r>
      <w:r>
        <w:rPr>
          <w:rFonts w:hint="default" w:ascii="Times New Roman" w:hAnsi="Times New Roman" w:eastAsia="黑体" w:cs="Times New Roman"/>
          <w:color w:val="auto"/>
          <w:spacing w:val="0"/>
          <w:sz w:val="36"/>
          <w:szCs w:val="36"/>
          <w:highlight w:val="none"/>
          <w:u w:val="none" w:color="auto"/>
          <w:lang w:val="en-US" w:eastAsia="zh-CN"/>
        </w:rPr>
        <w:t>月</w:t>
      </w:r>
    </w:p>
    <w:sdt>
      <w:sdtPr>
        <w:rPr>
          <w:rFonts w:hint="default" w:ascii="Times New Roman" w:hAnsi="Times New Roman" w:eastAsia="黑体" w:cs="Times New Roman"/>
          <w:b w:val="0"/>
          <w:bCs w:val="0"/>
          <w:color w:val="auto"/>
          <w:spacing w:val="0"/>
          <w:kern w:val="2"/>
          <w:sz w:val="32"/>
          <w:szCs w:val="40"/>
          <w:highlight w:val="none"/>
          <w:u w:val="none" w:color="auto"/>
          <w:lang w:val="en-US" w:eastAsia="zh-CN" w:bidi="ar-SA"/>
        </w:rPr>
        <w:id w:val="147474065"/>
        <w15:color w:val="DBDBDB"/>
        <w:docPartObj>
          <w:docPartGallery w:val="Table of Contents"/>
          <w:docPartUnique/>
        </w:docPartObj>
      </w:sdtPr>
      <w:sdtEndPr>
        <w:rPr>
          <w:rFonts w:hint="default" w:ascii="Times New Roman" w:hAnsi="Times New Roman" w:cs="Times New Roman" w:eastAsiaTheme="minorEastAsia"/>
          <w:b w:val="0"/>
          <w:bCs w:val="0"/>
          <w:color w:val="auto"/>
          <w:spacing w:val="0"/>
          <w:kern w:val="2"/>
          <w:sz w:val="21"/>
          <w:szCs w:val="24"/>
          <w:highlight w:val="none"/>
          <w:u w:val="none" w:color="auto"/>
          <w:lang w:val="en-US" w:eastAsia="zh-CN" w:bidi="ar-SA"/>
        </w:rPr>
      </w:sdtEndPr>
      <w:sdtContent>
        <w:p w14:paraId="737B7FB6">
          <w:pPr>
            <w:shd w:val="clear"/>
            <w:overflowPunct w:val="0"/>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b w:val="0"/>
              <w:bCs w:val="0"/>
              <w:color w:val="auto"/>
              <w:spacing w:val="0"/>
              <w:sz w:val="44"/>
              <w:szCs w:val="52"/>
              <w:highlight w:val="none"/>
              <w:u w:val="none" w:color="auto"/>
            </w:rPr>
          </w:pPr>
          <w:r>
            <w:rPr>
              <w:rFonts w:hint="eastAsia" w:ascii="方正小标宋_GBK" w:hAnsi="方正小标宋_GBK" w:eastAsia="方正小标宋_GBK" w:cs="方正小标宋_GBK"/>
              <w:b w:val="0"/>
              <w:bCs w:val="0"/>
              <w:color w:val="auto"/>
              <w:spacing w:val="0"/>
              <w:sz w:val="44"/>
              <w:szCs w:val="52"/>
              <w:highlight w:val="none"/>
              <w:u w:val="none" w:color="auto"/>
            </w:rPr>
            <w:t>目</w:t>
          </w:r>
          <w:r>
            <w:rPr>
              <w:rFonts w:hint="eastAsia" w:ascii="方正小标宋_GBK" w:hAnsi="方正小标宋_GBK" w:eastAsia="方正小标宋_GBK" w:cs="方正小标宋_GBK"/>
              <w:b w:val="0"/>
              <w:bCs w:val="0"/>
              <w:color w:val="auto"/>
              <w:spacing w:val="0"/>
              <w:sz w:val="44"/>
              <w:szCs w:val="52"/>
              <w:highlight w:val="none"/>
              <w:u w:val="none" w:color="auto"/>
              <w:lang w:val="en-US" w:eastAsia="zh-CN"/>
            </w:rPr>
            <w:t xml:space="preserve"> </w:t>
          </w:r>
          <w:r>
            <w:rPr>
              <w:rFonts w:hint="eastAsia" w:ascii="方正小标宋_GBK" w:hAnsi="方正小标宋_GBK" w:eastAsia="方正小标宋_GBK" w:cs="方正小标宋_GBK"/>
              <w:b w:val="0"/>
              <w:bCs w:val="0"/>
              <w:color w:val="auto"/>
              <w:spacing w:val="0"/>
              <w:sz w:val="44"/>
              <w:szCs w:val="52"/>
              <w:highlight w:val="none"/>
              <w:u w:val="none" w:color="auto"/>
            </w:rPr>
            <w:t>录</w:t>
          </w:r>
        </w:p>
        <w:p w14:paraId="579A9F15">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 w:val="30"/>
              <w:szCs w:val="30"/>
              <w:highlight w:val="none"/>
              <w:u w:val="none" w:color="auto"/>
              <w:lang w:val="en-US" w:eastAsia="zh-CN"/>
            </w:rPr>
            <w:fldChar w:fldCharType="begin"/>
          </w:r>
          <w:r>
            <w:rPr>
              <w:rFonts w:hint="default" w:ascii="Times New Roman" w:hAnsi="Times New Roman" w:cs="Times New Roman"/>
              <w:color w:val="auto"/>
              <w:spacing w:val="0"/>
              <w:sz w:val="30"/>
              <w:szCs w:val="30"/>
              <w:highlight w:val="none"/>
              <w:u w:val="none" w:color="auto"/>
              <w:lang w:val="en-US" w:eastAsia="zh-CN"/>
            </w:rPr>
            <w:instrText xml:space="preserve">TOC \o "1-2" \h \u </w:instrText>
          </w:r>
          <w:r>
            <w:rPr>
              <w:rFonts w:hint="default" w:ascii="Times New Roman" w:hAnsi="Times New Roman" w:cs="Times New Roman"/>
              <w:color w:val="auto"/>
              <w:spacing w:val="0"/>
              <w:sz w:val="30"/>
              <w:szCs w:val="30"/>
              <w:highlight w:val="none"/>
              <w:u w:val="none" w:color="auto"/>
              <w:lang w:val="en-US" w:eastAsia="zh-CN"/>
            </w:rPr>
            <w:fldChar w:fldCharType="separate"/>
          </w: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_Toc177223568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第一章 绘就高质量发展新画卷 开启定陶现代化建设新征程</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_Toc177223568 \h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5B7B9836">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_Toc1577098929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“十四五”时期经济社会发展取得的显著成效</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_Toc1577098929 \h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2A4D4C46">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_Toc680559609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“十五五”时期外部环境的总体特征</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_Toc680559609 \h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4E826893">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_Toc608272218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“十五五”时期定陶发展面临的机遇与挑战</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_Toc608272218 \h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833DDF4">
          <w:pPr>
            <w:pStyle w:val="11"/>
            <w:tabs>
              <w:tab w:val="right" w:leader="dot" w:pos="8844"/>
            </w:tabs>
            <w:ind w:left="948" w:hanging="948" w:hangingChars="300"/>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_Toc877055514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第二章 以习近平新时代中国特色社会主义思想为指导</w:t>
          </w:r>
          <w:r>
            <w:rPr>
              <w:rFonts w:hint="default" w:ascii="Times New Roman" w:hAnsi="Times New Roman" w:cs="Times New Roman"/>
              <w:color w:val="auto"/>
              <w:spacing w:val="0"/>
              <w:szCs w:val="30"/>
              <w:highlight w:val="none"/>
              <w:u w:val="none" w:color="auto"/>
              <w:lang w:val="en-US" w:eastAsia="zh-CN"/>
            </w:rPr>
            <w:fldChar w:fldCharType="end"/>
          </w:r>
          <w:r>
            <w:rPr>
              <w:rFonts w:hint="default" w:ascii="Times New Roman" w:hAnsi="Times New Roman" w:cs="Times New Roman"/>
              <w:color w:val="auto"/>
              <w:spacing w:val="0"/>
              <w:szCs w:val="30"/>
              <w:highlight w:val="none"/>
              <w:u w:val="none" w:color="auto"/>
              <w:lang w:val="en-US" w:eastAsia="zh-CN"/>
            </w:rPr>
            <w:t xml:space="preserve"> </w:t>
          </w: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_Toc1763313543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绘就中国</w:t>
          </w:r>
        </w:p>
        <w:p w14:paraId="64549580">
          <w:pPr>
            <w:pStyle w:val="11"/>
            <w:tabs>
              <w:tab w:val="right" w:leader="dot" w:pos="8844"/>
            </w:tabs>
            <w:ind w:left="1118" w:leftChars="354" w:firstLine="0" w:firstLineChars="0"/>
            <w:rPr>
              <w:rFonts w:hint="default" w:ascii="Times New Roman" w:hAnsi="Times New Roman" w:cs="Times New Roman"/>
              <w:color w:val="auto"/>
            </w:rPr>
          </w:pP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式现代化定陶新蓝图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_Toc1763313543 \h </w:instrText>
          </w:r>
          <w:r>
            <w:rPr>
              <w:rFonts w:hint="default" w:ascii="Times New Roman" w:hAnsi="Times New Roman" w:cs="Times New Roman"/>
              <w:color w:val="auto"/>
            </w:rPr>
            <w:fldChar w:fldCharType="separate"/>
          </w:r>
          <w:r>
            <w:rPr>
              <w:rFonts w:hint="default" w:ascii="Times New Roman" w:hAnsi="Times New Roman" w:cs="Times New Roman"/>
              <w:color w:val="auto"/>
            </w:rPr>
            <w:t>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550280E8">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_Toc1016347590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指导思想</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_Toc1016347590 \h </w:instrText>
          </w:r>
          <w:r>
            <w:rPr>
              <w:rFonts w:hint="default" w:ascii="Times New Roman" w:hAnsi="Times New Roman" w:cs="Times New Roman"/>
              <w:color w:val="auto"/>
            </w:rPr>
            <w:fldChar w:fldCharType="separate"/>
          </w:r>
          <w:r>
            <w:rPr>
              <w:rFonts w:hint="default" w:ascii="Times New Roman" w:hAnsi="Times New Roman" w:cs="Times New Roman"/>
              <w:color w:val="auto"/>
            </w:rPr>
            <w:t>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05CE0AD6">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_Toc1974731816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基本原则</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_Toc1974731816 \h </w:instrText>
          </w:r>
          <w:r>
            <w:rPr>
              <w:rFonts w:hint="default" w:ascii="Times New Roman" w:hAnsi="Times New Roman" w:cs="Times New Roman"/>
              <w:color w:val="auto"/>
            </w:rPr>
            <w:fldChar w:fldCharType="separate"/>
          </w:r>
          <w:r>
            <w:rPr>
              <w:rFonts w:hint="default" w:ascii="Times New Roman" w:hAnsi="Times New Roman" w:cs="Times New Roman"/>
              <w:color w:val="auto"/>
            </w:rPr>
            <w:t>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12FEA78C">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_Toc224227969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主要目标</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_Toc224227969 \h </w:instrText>
          </w:r>
          <w:r>
            <w:rPr>
              <w:rFonts w:hint="default" w:ascii="Times New Roman" w:hAnsi="Times New Roman" w:cs="Times New Roman"/>
              <w:color w:val="auto"/>
            </w:rPr>
            <w:fldChar w:fldCharType="separate"/>
          </w:r>
          <w:r>
            <w:rPr>
              <w:rFonts w:hint="default" w:ascii="Times New Roman" w:hAnsi="Times New Roman" w:cs="Times New Roman"/>
              <w:color w:val="auto"/>
            </w:rPr>
            <w:t>9</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2F5F959">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_Toc1319560900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第三章 培育高质量发展新动能</w:t>
          </w:r>
          <w:r>
            <w:rPr>
              <w:rFonts w:hint="default" w:ascii="Times New Roman" w:hAnsi="Times New Roman" w:cs="Times New Roman"/>
              <w:color w:val="auto"/>
              <w:highlight w:val="none"/>
              <w:lang w:val="en-US" w:eastAsia="zh-CN"/>
            </w:rPr>
            <w:t xml:space="preserve"> </w:t>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构建现代化产业体系</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_Toc1319560900 \h </w:instrText>
          </w:r>
          <w:r>
            <w:rPr>
              <w:rFonts w:hint="default" w:ascii="Times New Roman" w:hAnsi="Times New Roman" w:cs="Times New Roman"/>
              <w:color w:val="auto"/>
            </w:rPr>
            <w:fldChar w:fldCharType="separate"/>
          </w:r>
          <w:r>
            <w:rPr>
              <w:rFonts w:hint="default" w:ascii="Times New Roman" w:hAnsi="Times New Roman" w:cs="Times New Roman"/>
              <w:color w:val="auto"/>
            </w:rPr>
            <w:t>13</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68F2C0F">
          <w:pPr>
            <w:pStyle w:val="13"/>
            <w:tabs>
              <w:tab w:val="right" w:leader="dot" w:pos="8844"/>
            </w:tabs>
            <w:rPr>
              <w:rFonts w:hint="default" w:ascii="Times New Roman" w:hAnsi="Times New Roman" w:eastAsia="仿宋_GB2312" w:cs="Times New Roman"/>
              <w:bCs w:val="0"/>
              <w:i w:val="0"/>
              <w:iCs w:val="0"/>
              <w:caps w:val="0"/>
              <w:color w:val="auto"/>
              <w:spacing w:val="0"/>
              <w:szCs w:val="32"/>
              <w:highlight w:val="none"/>
              <w:shd w:val="clear" w:fill="FFFFFF"/>
              <w:lang w:val="en-US" w:eastAsia="zh-CN"/>
            </w:rPr>
          </w:pP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双核引领，做大做强优势产业</w:t>
          </w:r>
          <w:r>
            <w:rPr>
              <w:rFonts w:hint="default" w:ascii="Times New Roman" w:hAnsi="Times New Roman" w:cs="Times New Roman"/>
              <w:color w:val="auto"/>
            </w:rPr>
            <w:tab/>
          </w:r>
          <w:r>
            <w:rPr>
              <w:rFonts w:hint="default" w:ascii="Times New Roman" w:hAnsi="Times New Roman" w:cs="Times New Roman"/>
              <w:color w:val="auto"/>
              <w:lang w:val="en-US" w:eastAsia="zh-CN"/>
            </w:rPr>
            <w:t>13</w:t>
          </w:r>
        </w:p>
        <w:p w14:paraId="33CAB456">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_Toc1255325519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多元共进，做精做优潜力产业</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_Toc1255325519 \h </w:instrText>
          </w:r>
          <w:r>
            <w:rPr>
              <w:rFonts w:hint="default" w:ascii="Times New Roman" w:hAnsi="Times New Roman" w:cs="Times New Roman"/>
              <w:color w:val="auto"/>
            </w:rPr>
            <w:fldChar w:fldCharType="separate"/>
          </w:r>
          <w:r>
            <w:rPr>
              <w:rFonts w:hint="default" w:ascii="Times New Roman" w:hAnsi="Times New Roman" w:cs="Times New Roman"/>
              <w:color w:val="auto"/>
            </w:rPr>
            <w:t>15</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B2F15B1">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_Toc1827608469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加快发展现代服务业</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_Toc1827608469 \h </w:instrText>
          </w:r>
          <w:r>
            <w:rPr>
              <w:rFonts w:hint="default" w:ascii="Times New Roman" w:hAnsi="Times New Roman" w:cs="Times New Roman"/>
              <w:color w:val="auto"/>
            </w:rPr>
            <w:fldChar w:fldCharType="separate"/>
          </w:r>
          <w:r>
            <w:rPr>
              <w:rFonts w:hint="default" w:ascii="Times New Roman" w:hAnsi="Times New Roman" w:cs="Times New Roman"/>
              <w:color w:val="auto"/>
            </w:rPr>
            <w:t>21</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265CB4F7">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_Toc2009948295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smallCaps w:val="0"/>
              <w:color w:val="auto"/>
              <w:spacing w:val="0"/>
              <w:szCs w:val="32"/>
              <w:highlight w:val="none"/>
              <w:shd w:val="clear" w:color="auto" w:fill="FFFFFF"/>
              <w:lang w:val="en-US" w:eastAsia="zh-CN"/>
            </w:rPr>
            <w:t>第四节 积极发展数字经济</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_Toc2009948295 \h </w:instrText>
          </w:r>
          <w:r>
            <w:rPr>
              <w:rFonts w:hint="default" w:ascii="Times New Roman" w:hAnsi="Times New Roman" w:cs="Times New Roman"/>
              <w:color w:val="auto"/>
            </w:rPr>
            <w:fldChar w:fldCharType="separate"/>
          </w:r>
          <w:r>
            <w:rPr>
              <w:rFonts w:hint="default" w:ascii="Times New Roman" w:hAnsi="Times New Roman" w:cs="Times New Roman"/>
              <w:color w:val="auto"/>
            </w:rPr>
            <w:t>23</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4AA8C737">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_Toc957380719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第五节 拓展开发区承载能力</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_Toc957380719 \h </w:instrText>
          </w:r>
          <w:r>
            <w:rPr>
              <w:rFonts w:hint="default" w:ascii="Times New Roman" w:hAnsi="Times New Roman" w:cs="Times New Roman"/>
              <w:color w:val="auto"/>
            </w:rPr>
            <w:fldChar w:fldCharType="separate"/>
          </w:r>
          <w:r>
            <w:rPr>
              <w:rFonts w:hint="default" w:ascii="Times New Roman" w:hAnsi="Times New Roman" w:cs="Times New Roman"/>
              <w:color w:val="auto"/>
            </w:rPr>
            <w:t>24</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4F9AC460">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_Toc978688534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第四章 实施创新驱动发展战略 构筑区域发展新优势</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_Toc978688534 \h </w:instrText>
          </w:r>
          <w:r>
            <w:rPr>
              <w:rFonts w:hint="default" w:ascii="Times New Roman" w:hAnsi="Times New Roman" w:cs="Times New Roman"/>
              <w:color w:val="auto"/>
            </w:rPr>
            <w:fldChar w:fldCharType="separate"/>
          </w:r>
          <w:r>
            <w:rPr>
              <w:rFonts w:hint="default" w:ascii="Times New Roman" w:hAnsi="Times New Roman" w:cs="Times New Roman"/>
              <w:color w:val="auto"/>
            </w:rPr>
            <w:t>27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02E2D802">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_Toc2107255797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提高科技创新发展能级</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_Toc2107255797 \h </w:instrText>
          </w:r>
          <w:r>
            <w:rPr>
              <w:rFonts w:hint="default" w:ascii="Times New Roman" w:hAnsi="Times New Roman" w:cs="Times New Roman"/>
              <w:color w:val="auto"/>
            </w:rPr>
            <w:fldChar w:fldCharType="separate"/>
          </w:r>
          <w:r>
            <w:rPr>
              <w:rFonts w:hint="default" w:ascii="Times New Roman" w:hAnsi="Times New Roman" w:cs="Times New Roman"/>
              <w:color w:val="auto"/>
            </w:rPr>
            <w:t>27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9AE3324">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_Toc778677692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加快推动人才强区建设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_Toc778677692 \h </w:instrText>
          </w:r>
          <w:r>
            <w:rPr>
              <w:rFonts w:hint="default" w:ascii="Times New Roman" w:hAnsi="Times New Roman" w:cs="Times New Roman"/>
              <w:color w:val="auto"/>
            </w:rPr>
            <w:fldChar w:fldCharType="separate"/>
          </w:r>
          <w:r>
            <w:rPr>
              <w:rFonts w:hint="default" w:ascii="Times New Roman" w:hAnsi="Times New Roman" w:cs="Times New Roman"/>
              <w:color w:val="auto"/>
            </w:rPr>
            <w:t>29</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02F730F5">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_Toc1605866337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持续优化科技创新生态</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_Toc1605866337 \h </w:instrText>
          </w:r>
          <w:r>
            <w:rPr>
              <w:rFonts w:hint="default" w:ascii="Times New Roman" w:hAnsi="Times New Roman" w:cs="Times New Roman"/>
              <w:color w:val="auto"/>
            </w:rPr>
            <w:fldChar w:fldCharType="separate"/>
          </w:r>
          <w:r>
            <w:rPr>
              <w:rFonts w:hint="default" w:ascii="Times New Roman" w:hAnsi="Times New Roman" w:cs="Times New Roman"/>
              <w:color w:val="auto"/>
            </w:rPr>
            <w:t>29</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A670998">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_Toc1779631645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第五章 全面深化改革扩大开放 增强高质量发展内生动力</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_Toc1779631645 \h </w:instrText>
          </w:r>
          <w:r>
            <w:rPr>
              <w:rFonts w:hint="default" w:ascii="Times New Roman" w:hAnsi="Times New Roman" w:cs="Times New Roman"/>
              <w:color w:val="auto"/>
            </w:rPr>
            <w:fldChar w:fldCharType="separate"/>
          </w:r>
          <w:r>
            <w:rPr>
              <w:rFonts w:hint="default" w:ascii="Times New Roman" w:hAnsi="Times New Roman" w:cs="Times New Roman"/>
              <w:color w:val="auto"/>
            </w:rPr>
            <w:t>32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47553EA">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_Toc1907608403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深化重点领域改革</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_Toc1907608403 \h </w:instrText>
          </w:r>
          <w:r>
            <w:rPr>
              <w:rFonts w:hint="default" w:ascii="Times New Roman" w:hAnsi="Times New Roman" w:cs="Times New Roman"/>
              <w:color w:val="auto"/>
            </w:rPr>
            <w:fldChar w:fldCharType="separate"/>
          </w:r>
          <w:r>
            <w:rPr>
              <w:rFonts w:hint="default" w:ascii="Times New Roman" w:hAnsi="Times New Roman" w:cs="Times New Roman"/>
              <w:color w:val="auto"/>
            </w:rPr>
            <w:t>32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7A8DF48">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_Toc1972283677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打造一流营商环境</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_Toc1972283677 \h </w:instrText>
          </w:r>
          <w:r>
            <w:rPr>
              <w:rFonts w:hint="default" w:ascii="Times New Roman" w:hAnsi="Times New Roman" w:cs="Times New Roman"/>
              <w:color w:val="auto"/>
            </w:rPr>
            <w:fldChar w:fldCharType="separate"/>
          </w:r>
          <w:r>
            <w:rPr>
              <w:rFonts w:hint="default" w:ascii="Times New Roman" w:hAnsi="Times New Roman" w:cs="Times New Roman"/>
              <w:color w:val="auto"/>
            </w:rPr>
            <w:t>33</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9423362">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_Toc715414796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建设高水平开放型经济</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_Toc715414796 \h </w:instrText>
          </w:r>
          <w:r>
            <w:rPr>
              <w:rFonts w:hint="default" w:ascii="Times New Roman" w:hAnsi="Times New Roman" w:cs="Times New Roman"/>
              <w:color w:val="auto"/>
            </w:rPr>
            <w:fldChar w:fldCharType="separate"/>
          </w:r>
          <w:r>
            <w:rPr>
              <w:rFonts w:hint="default" w:ascii="Times New Roman" w:hAnsi="Times New Roman" w:cs="Times New Roman"/>
              <w:color w:val="auto"/>
            </w:rPr>
            <w:t>35</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23F2AC5D">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_Toc1125460229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第六章 提升城市功能品质 建设宜居韧性智慧城市</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_Toc1125460229 \h </w:instrText>
          </w:r>
          <w:r>
            <w:rPr>
              <w:rFonts w:hint="default" w:ascii="Times New Roman" w:hAnsi="Times New Roman" w:cs="Times New Roman"/>
              <w:color w:val="auto"/>
            </w:rPr>
            <w:fldChar w:fldCharType="separate"/>
          </w:r>
          <w:r>
            <w:rPr>
              <w:rFonts w:hint="default" w:ascii="Times New Roman" w:hAnsi="Times New Roman" w:cs="Times New Roman"/>
              <w:color w:val="auto"/>
            </w:rPr>
            <w:t>37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BB4CB79">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_Toc1503251746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构建宜居宜业现代化城区</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_Toc1503251746 \h </w:instrText>
          </w:r>
          <w:r>
            <w:rPr>
              <w:rFonts w:hint="default" w:ascii="Times New Roman" w:hAnsi="Times New Roman" w:cs="Times New Roman"/>
              <w:color w:val="auto"/>
            </w:rPr>
            <w:fldChar w:fldCharType="separate"/>
          </w:r>
          <w:r>
            <w:rPr>
              <w:rFonts w:hint="default" w:ascii="Times New Roman" w:hAnsi="Times New Roman" w:cs="Times New Roman"/>
              <w:color w:val="auto"/>
            </w:rPr>
            <w:t>37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21B517E">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_Toc1838390162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加快推进新型城镇化建设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_Toc1838390162 \h </w:instrText>
          </w:r>
          <w:r>
            <w:rPr>
              <w:rFonts w:hint="default" w:ascii="Times New Roman" w:hAnsi="Times New Roman" w:cs="Times New Roman"/>
              <w:color w:val="auto"/>
            </w:rPr>
            <w:fldChar w:fldCharType="separate"/>
          </w:r>
          <w:r>
            <w:rPr>
              <w:rFonts w:hint="default" w:ascii="Times New Roman" w:hAnsi="Times New Roman" w:cs="Times New Roman"/>
              <w:color w:val="auto"/>
            </w:rPr>
            <w:t>39</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2F58C264">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_Toc1863909015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优化全域基础设施布局</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_Toc1863909015 \h </w:instrText>
          </w:r>
          <w:r>
            <w:rPr>
              <w:rFonts w:hint="default" w:ascii="Times New Roman" w:hAnsi="Times New Roman" w:cs="Times New Roman"/>
              <w:color w:val="auto"/>
            </w:rPr>
            <w:fldChar w:fldCharType="separate"/>
          </w:r>
          <w:r>
            <w:rPr>
              <w:rFonts w:hint="default" w:ascii="Times New Roman" w:hAnsi="Times New Roman" w:cs="Times New Roman"/>
              <w:color w:val="auto"/>
            </w:rPr>
            <w:t>40</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EBA40B0">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_Toc1716844361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第七章 全面推进乡村振兴 加快农业农村现代化</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_Toc1716844361 \h </w:instrText>
          </w:r>
          <w:r>
            <w:rPr>
              <w:rFonts w:hint="default" w:ascii="Times New Roman" w:hAnsi="Times New Roman" w:cs="Times New Roman"/>
              <w:color w:val="auto"/>
            </w:rPr>
            <w:fldChar w:fldCharType="separate"/>
          </w:r>
          <w:r>
            <w:rPr>
              <w:rFonts w:hint="default" w:ascii="Times New Roman" w:hAnsi="Times New Roman" w:cs="Times New Roman"/>
              <w:color w:val="auto"/>
            </w:rPr>
            <w:t>44</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28F904A">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_Toc1273738214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提高农业质量效益和竞争力</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_Toc1273738214 \h </w:instrText>
          </w:r>
          <w:r>
            <w:rPr>
              <w:rFonts w:hint="default" w:ascii="Times New Roman" w:hAnsi="Times New Roman" w:cs="Times New Roman"/>
              <w:color w:val="auto"/>
            </w:rPr>
            <w:fldChar w:fldCharType="separate"/>
          </w:r>
          <w:r>
            <w:rPr>
              <w:rFonts w:hint="default" w:ascii="Times New Roman" w:hAnsi="Times New Roman" w:cs="Times New Roman"/>
              <w:color w:val="auto"/>
            </w:rPr>
            <w:t>44</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66726CB">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_Toc2006691149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推进宜居宜业和美乡村建设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_Toc2006691149 \h </w:instrText>
          </w:r>
          <w:r>
            <w:rPr>
              <w:rFonts w:hint="default" w:ascii="Times New Roman" w:hAnsi="Times New Roman" w:cs="Times New Roman"/>
              <w:color w:val="auto"/>
            </w:rPr>
            <w:fldChar w:fldCharType="separate"/>
          </w:r>
          <w:r>
            <w:rPr>
              <w:rFonts w:hint="default" w:ascii="Times New Roman" w:hAnsi="Times New Roman" w:cs="Times New Roman"/>
              <w:color w:val="auto"/>
            </w:rPr>
            <w:t>48</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47157EB8">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_Toc2080708147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提高强农惠农富农政策效能</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_Toc2080708147 \h </w:instrText>
          </w:r>
          <w:r>
            <w:rPr>
              <w:rFonts w:hint="default" w:ascii="Times New Roman" w:hAnsi="Times New Roman" w:cs="Times New Roman"/>
              <w:color w:val="auto"/>
            </w:rPr>
            <w:fldChar w:fldCharType="separate"/>
          </w:r>
          <w:r>
            <w:rPr>
              <w:rFonts w:hint="default" w:ascii="Times New Roman" w:hAnsi="Times New Roman" w:cs="Times New Roman"/>
              <w:color w:val="auto"/>
            </w:rPr>
            <w:t>49</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08F82F55">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_Toc305076043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 xml:space="preserve">第八章 融入新发展格局 </w:t>
          </w:r>
          <w:r>
            <w:rPr>
              <w:rFonts w:hint="default" w:ascii="Times New Roman" w:hAnsi="Times New Roman" w:eastAsia="方正小标宋简体" w:cs="Times New Roman"/>
              <w:bCs/>
              <w:color w:val="auto"/>
              <w:szCs w:val="32"/>
              <w:highlight w:val="none"/>
              <w:shd w:val="clear" w:fill="FFFFFF"/>
            </w:rPr>
            <w:t>释放市场深层活力</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_Toc305076043 \h </w:instrText>
          </w:r>
          <w:r>
            <w:rPr>
              <w:rFonts w:hint="default" w:ascii="Times New Roman" w:hAnsi="Times New Roman" w:cs="Times New Roman"/>
              <w:color w:val="auto"/>
            </w:rPr>
            <w:fldChar w:fldCharType="separate"/>
          </w:r>
          <w:r>
            <w:rPr>
              <w:rFonts w:hint="default" w:ascii="Times New Roman" w:hAnsi="Times New Roman" w:cs="Times New Roman"/>
              <w:color w:val="auto"/>
            </w:rPr>
            <w:t>52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FE41DB1">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_Toc36431069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促进消费提质扩容</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_Toc36431069 \h </w:instrText>
          </w:r>
          <w:r>
            <w:rPr>
              <w:rFonts w:hint="default" w:ascii="Times New Roman" w:hAnsi="Times New Roman" w:cs="Times New Roman"/>
              <w:color w:val="auto"/>
            </w:rPr>
            <w:fldChar w:fldCharType="separate"/>
          </w:r>
          <w:r>
            <w:rPr>
              <w:rFonts w:hint="default" w:ascii="Times New Roman" w:hAnsi="Times New Roman" w:cs="Times New Roman"/>
              <w:color w:val="auto"/>
            </w:rPr>
            <w:t>52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73F0B2A">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_Toc1510323429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积极扩大有效益的投资</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_Toc1510323429 \h </w:instrText>
          </w:r>
          <w:r>
            <w:rPr>
              <w:rFonts w:hint="default" w:ascii="Times New Roman" w:hAnsi="Times New Roman" w:cs="Times New Roman"/>
              <w:color w:val="auto"/>
            </w:rPr>
            <w:fldChar w:fldCharType="separate"/>
          </w:r>
          <w:r>
            <w:rPr>
              <w:rFonts w:hint="default" w:ascii="Times New Roman" w:hAnsi="Times New Roman" w:cs="Times New Roman"/>
              <w:color w:val="auto"/>
            </w:rPr>
            <w:t>53</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5624692">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_Toc985635652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服务全国统一大市场建设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_Toc985635652 \h </w:instrText>
          </w:r>
          <w:r>
            <w:rPr>
              <w:rFonts w:hint="default" w:ascii="Times New Roman" w:hAnsi="Times New Roman" w:cs="Times New Roman"/>
              <w:color w:val="auto"/>
            </w:rPr>
            <w:fldChar w:fldCharType="separate"/>
          </w:r>
          <w:r>
            <w:rPr>
              <w:rFonts w:hint="default" w:ascii="Times New Roman" w:hAnsi="Times New Roman" w:cs="Times New Roman"/>
              <w:color w:val="auto"/>
            </w:rPr>
            <w:t>54</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119D2A84">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_Toc644703287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第九章 繁荣发展社会主义文化 全面提升城市文化软实力</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_Toc644703287 \h </w:instrText>
          </w:r>
          <w:r>
            <w:rPr>
              <w:rFonts w:hint="default" w:ascii="Times New Roman" w:hAnsi="Times New Roman" w:cs="Times New Roman"/>
              <w:color w:val="auto"/>
            </w:rPr>
            <w:fldChar w:fldCharType="separate"/>
          </w:r>
          <w:r>
            <w:rPr>
              <w:rFonts w:hint="default" w:ascii="Times New Roman" w:hAnsi="Times New Roman" w:cs="Times New Roman"/>
              <w:color w:val="auto"/>
            </w:rPr>
            <w:t>56</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4CC6377C">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_Toc239895295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弘扬和践行社会主义核心价值观</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_Toc239895295 \h </w:instrText>
          </w:r>
          <w:r>
            <w:rPr>
              <w:rFonts w:hint="default" w:ascii="Times New Roman" w:hAnsi="Times New Roman" w:cs="Times New Roman"/>
              <w:color w:val="auto"/>
            </w:rPr>
            <w:fldChar w:fldCharType="separate"/>
          </w:r>
          <w:r>
            <w:rPr>
              <w:rFonts w:hint="default" w:ascii="Times New Roman" w:hAnsi="Times New Roman" w:cs="Times New Roman"/>
              <w:color w:val="auto"/>
            </w:rPr>
            <w:t>56</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17381526">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_Toc601465547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大力发展文化事业和文化产业</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_Toc601465547 \h </w:instrText>
          </w:r>
          <w:r>
            <w:rPr>
              <w:rFonts w:hint="default" w:ascii="Times New Roman" w:hAnsi="Times New Roman" w:cs="Times New Roman"/>
              <w:color w:val="auto"/>
            </w:rPr>
            <w:fldChar w:fldCharType="separate"/>
          </w:r>
          <w:r>
            <w:rPr>
              <w:rFonts w:hint="default" w:ascii="Times New Roman" w:hAnsi="Times New Roman" w:cs="Times New Roman"/>
              <w:color w:val="auto"/>
            </w:rPr>
            <w:t>56</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8380629">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_Toc1661050878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优化公共文化服务供给</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_Toc1661050878 \h </w:instrText>
          </w:r>
          <w:r>
            <w:rPr>
              <w:rFonts w:hint="default" w:ascii="Times New Roman" w:hAnsi="Times New Roman" w:cs="Times New Roman"/>
              <w:color w:val="auto"/>
            </w:rPr>
            <w:fldChar w:fldCharType="separate"/>
          </w:r>
          <w:r>
            <w:rPr>
              <w:rFonts w:hint="default" w:ascii="Times New Roman" w:hAnsi="Times New Roman" w:cs="Times New Roman"/>
              <w:color w:val="auto"/>
            </w:rPr>
            <w:t>58</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A872931">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_Toc67143464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第十章 推动绿色低碳转型 建设美丽宜居家园</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_Toc67143464 \h </w:instrText>
          </w:r>
          <w:r>
            <w:rPr>
              <w:rFonts w:hint="default" w:ascii="Times New Roman" w:hAnsi="Times New Roman" w:cs="Times New Roman"/>
              <w:color w:val="auto"/>
            </w:rPr>
            <w:fldChar w:fldCharType="separate"/>
          </w:r>
          <w:r>
            <w:rPr>
              <w:rFonts w:hint="default" w:ascii="Times New Roman" w:hAnsi="Times New Roman" w:cs="Times New Roman"/>
              <w:color w:val="auto"/>
            </w:rPr>
            <w:t>60</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0456C5AA">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_Toc825693516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深入推进污染防治攻坚和生态系统优化</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_Toc825693516 \h </w:instrText>
          </w:r>
          <w:r>
            <w:rPr>
              <w:rFonts w:hint="default" w:ascii="Times New Roman" w:hAnsi="Times New Roman" w:cs="Times New Roman"/>
              <w:color w:val="auto"/>
            </w:rPr>
            <w:fldChar w:fldCharType="separate"/>
          </w:r>
          <w:r>
            <w:rPr>
              <w:rFonts w:hint="default" w:ascii="Times New Roman" w:hAnsi="Times New Roman" w:cs="Times New Roman"/>
              <w:color w:val="auto"/>
            </w:rPr>
            <w:t>60</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639B9B4">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_Toc833128130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加快建设新型能源体系</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_Toc833128130 \h </w:instrText>
          </w:r>
          <w:r>
            <w:rPr>
              <w:rFonts w:hint="default" w:ascii="Times New Roman" w:hAnsi="Times New Roman" w:cs="Times New Roman"/>
              <w:color w:val="auto"/>
            </w:rPr>
            <w:fldChar w:fldCharType="separate"/>
          </w:r>
          <w:r>
            <w:rPr>
              <w:rFonts w:hint="default" w:ascii="Times New Roman" w:hAnsi="Times New Roman" w:cs="Times New Roman"/>
              <w:color w:val="auto"/>
            </w:rPr>
            <w:t>62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45DAE3FB">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_Toc1322468983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有序推进碳排放达峰</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_Toc1322468983 \h </w:instrText>
          </w:r>
          <w:r>
            <w:rPr>
              <w:rFonts w:hint="default" w:ascii="Times New Roman" w:hAnsi="Times New Roman" w:cs="Times New Roman"/>
              <w:color w:val="auto"/>
            </w:rPr>
            <w:fldChar w:fldCharType="separate"/>
          </w:r>
          <w:r>
            <w:rPr>
              <w:rFonts w:hint="default" w:ascii="Times New Roman" w:hAnsi="Times New Roman" w:cs="Times New Roman"/>
              <w:color w:val="auto"/>
            </w:rPr>
            <w:t>64</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1AC52CC">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_Toc505818337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第十一章 持续增进民生福祉 加快推动成果共享</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_Toc505818337 \h </w:instrText>
          </w:r>
          <w:r>
            <w:rPr>
              <w:rFonts w:hint="default" w:ascii="Times New Roman" w:hAnsi="Times New Roman" w:cs="Times New Roman"/>
              <w:color w:val="auto"/>
            </w:rPr>
            <w:fldChar w:fldCharType="separate"/>
          </w:r>
          <w:r>
            <w:rPr>
              <w:rFonts w:hint="default" w:ascii="Times New Roman" w:hAnsi="Times New Roman" w:cs="Times New Roman"/>
              <w:color w:val="auto"/>
            </w:rPr>
            <w:t>67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2AA99E1">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_Toc695592777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推动更高质量就业</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_Toc695592777 \h </w:instrText>
          </w:r>
          <w:r>
            <w:rPr>
              <w:rFonts w:hint="default" w:ascii="Times New Roman" w:hAnsi="Times New Roman" w:cs="Times New Roman"/>
              <w:color w:val="auto"/>
            </w:rPr>
            <w:fldChar w:fldCharType="separate"/>
          </w:r>
          <w:r>
            <w:rPr>
              <w:rFonts w:hint="default" w:ascii="Times New Roman" w:hAnsi="Times New Roman" w:cs="Times New Roman"/>
              <w:color w:val="auto"/>
            </w:rPr>
            <w:t>67</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3A891CF">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_Toc132366054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发展优质均衡教育</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_Toc132366054 \h </w:instrText>
          </w:r>
          <w:r>
            <w:rPr>
              <w:rFonts w:hint="default" w:ascii="Times New Roman" w:hAnsi="Times New Roman" w:cs="Times New Roman"/>
              <w:color w:val="auto"/>
            </w:rPr>
            <w:fldChar w:fldCharType="separate"/>
          </w:r>
          <w:r>
            <w:rPr>
              <w:rFonts w:hint="default" w:ascii="Times New Roman" w:hAnsi="Times New Roman" w:cs="Times New Roman"/>
              <w:color w:val="auto"/>
            </w:rPr>
            <w:t>68</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780963B">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_Toc1484506872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加快建设健康定陶</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_Toc1484506872 \h </w:instrText>
          </w:r>
          <w:r>
            <w:rPr>
              <w:rFonts w:hint="default" w:ascii="Times New Roman" w:hAnsi="Times New Roman" w:cs="Times New Roman"/>
              <w:color w:val="auto"/>
            </w:rPr>
            <w:fldChar w:fldCharType="separate"/>
          </w:r>
          <w:r>
            <w:rPr>
              <w:rFonts w:hint="default" w:ascii="Times New Roman" w:hAnsi="Times New Roman" w:cs="Times New Roman"/>
              <w:color w:val="auto"/>
            </w:rPr>
            <w:t>70</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082E8F17">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_Toc655364926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第四节 健全社会保障体系</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_Toc655364926 \h </w:instrText>
          </w:r>
          <w:r>
            <w:rPr>
              <w:rFonts w:hint="default" w:ascii="Times New Roman" w:hAnsi="Times New Roman" w:cs="Times New Roman"/>
              <w:color w:val="auto"/>
            </w:rPr>
            <w:fldChar w:fldCharType="separate"/>
          </w:r>
          <w:r>
            <w:rPr>
              <w:rFonts w:hint="default" w:ascii="Times New Roman" w:hAnsi="Times New Roman" w:cs="Times New Roman"/>
              <w:color w:val="auto"/>
            </w:rPr>
            <w:t>71</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43DF5EA">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_Toc911043746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第五节 促进人口高质量发展</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_Toc911043746 \h </w:instrText>
          </w:r>
          <w:r>
            <w:rPr>
              <w:rFonts w:hint="default" w:ascii="Times New Roman" w:hAnsi="Times New Roman" w:cs="Times New Roman"/>
              <w:color w:val="auto"/>
            </w:rPr>
            <w:fldChar w:fldCharType="separate"/>
          </w:r>
          <w:r>
            <w:rPr>
              <w:rFonts w:hint="default" w:ascii="Times New Roman" w:hAnsi="Times New Roman" w:cs="Times New Roman"/>
              <w:color w:val="auto"/>
            </w:rPr>
            <w:t>73</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E4AD70E">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_Toc942889561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第十二章 完善社会治理体系 建设更高水平平安社会</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_Toc942889561 \h </w:instrText>
          </w:r>
          <w:r>
            <w:rPr>
              <w:rFonts w:hint="default" w:ascii="Times New Roman" w:hAnsi="Times New Roman" w:cs="Times New Roman"/>
              <w:color w:val="auto"/>
            </w:rPr>
            <w:fldChar w:fldCharType="separate"/>
          </w:r>
          <w:r>
            <w:rPr>
              <w:rFonts w:hint="default" w:ascii="Times New Roman" w:hAnsi="Times New Roman" w:cs="Times New Roman"/>
              <w:color w:val="auto"/>
            </w:rPr>
            <w:t>75</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3CE47D06">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_Toc287512923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全面提升基层治理能力</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_Toc287512923 \h </w:instrText>
          </w:r>
          <w:r>
            <w:rPr>
              <w:rFonts w:hint="default" w:ascii="Times New Roman" w:hAnsi="Times New Roman" w:cs="Times New Roman"/>
              <w:color w:val="auto"/>
            </w:rPr>
            <w:fldChar w:fldCharType="separate"/>
          </w:r>
          <w:r>
            <w:rPr>
              <w:rFonts w:hint="default" w:ascii="Times New Roman" w:hAnsi="Times New Roman" w:cs="Times New Roman"/>
              <w:color w:val="auto"/>
            </w:rPr>
            <w:t>75</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5DB597E1">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_Toc671168501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第二节 加强民主法治保障</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_Toc671168501 \h </w:instrText>
          </w:r>
          <w:r>
            <w:rPr>
              <w:rFonts w:hint="default" w:ascii="Times New Roman" w:hAnsi="Times New Roman" w:cs="Times New Roman"/>
              <w:color w:val="auto"/>
            </w:rPr>
            <w:fldChar w:fldCharType="separate"/>
          </w:r>
          <w:r>
            <w:rPr>
              <w:rFonts w:hint="default" w:ascii="Times New Roman" w:hAnsi="Times New Roman" w:cs="Times New Roman"/>
              <w:color w:val="auto"/>
            </w:rPr>
            <w:t>76</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57877076">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_Toc767689590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提升城市安全运行水平</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_Toc767689590 \h </w:instrText>
          </w:r>
          <w:r>
            <w:rPr>
              <w:rFonts w:hint="default" w:ascii="Times New Roman" w:hAnsi="Times New Roman" w:cs="Times New Roman"/>
              <w:color w:val="auto"/>
            </w:rPr>
            <w:fldChar w:fldCharType="separate"/>
          </w:r>
          <w:r>
            <w:rPr>
              <w:rFonts w:hint="default" w:ascii="Times New Roman" w:hAnsi="Times New Roman" w:cs="Times New Roman"/>
              <w:color w:val="auto"/>
            </w:rPr>
            <w:t>78</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4A1CC6A">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_Toc1002927719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第四节 创新智慧治理模式</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_Toc1002927719 \h </w:instrText>
          </w:r>
          <w:r>
            <w:rPr>
              <w:rFonts w:hint="default" w:ascii="Times New Roman" w:hAnsi="Times New Roman" w:cs="Times New Roman"/>
              <w:color w:val="auto"/>
            </w:rPr>
            <w:fldChar w:fldCharType="separate"/>
          </w:r>
          <w:r>
            <w:rPr>
              <w:rFonts w:hint="default" w:ascii="Times New Roman" w:hAnsi="Times New Roman" w:cs="Times New Roman"/>
              <w:color w:val="auto"/>
            </w:rPr>
            <w:t>80</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5711250">
          <w:pPr>
            <w:pStyle w:val="11"/>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_Toc1796628730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方正小标宋简体" w:cs="Times New Roman"/>
              <w:bCs w:val="0"/>
              <w:i w:val="0"/>
              <w:iCs w:val="0"/>
              <w:caps w:val="0"/>
              <w:color w:val="auto"/>
              <w:spacing w:val="0"/>
              <w:szCs w:val="32"/>
              <w:highlight w:val="none"/>
              <w:shd w:val="clear" w:fill="FFFFFF"/>
              <w:lang w:val="en-US" w:eastAsia="zh-CN"/>
            </w:rPr>
            <w:t>第十三章 健全保障措施 筑牢规划落地支撑</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_Toc1796628730 \h </w:instrText>
          </w:r>
          <w:r>
            <w:rPr>
              <w:rFonts w:hint="default" w:ascii="Times New Roman" w:hAnsi="Times New Roman" w:cs="Times New Roman"/>
              <w:color w:val="auto"/>
            </w:rPr>
            <w:fldChar w:fldCharType="separate"/>
          </w:r>
          <w:r>
            <w:rPr>
              <w:rFonts w:hint="default" w:ascii="Times New Roman" w:hAnsi="Times New Roman" w:cs="Times New Roman"/>
              <w:color w:val="auto"/>
            </w:rPr>
            <w:t>82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FA7DC54">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_Toc123457688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第一节 加强党的集中统一领导</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_Toc123457688 \h </w:instrText>
          </w:r>
          <w:r>
            <w:rPr>
              <w:rFonts w:hint="default" w:ascii="Times New Roman" w:hAnsi="Times New Roman" w:cs="Times New Roman"/>
              <w:color w:val="auto"/>
            </w:rPr>
            <w:fldChar w:fldCharType="separate"/>
          </w:r>
          <w:r>
            <w:rPr>
              <w:rFonts w:hint="default" w:ascii="Times New Roman" w:hAnsi="Times New Roman" w:cs="Times New Roman"/>
              <w:color w:val="auto"/>
            </w:rPr>
            <w:t>82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1B79C68">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_Toc693834234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 xml:space="preserve">第二节 </w:t>
          </w:r>
          <w:r>
            <w:rPr>
              <w:rFonts w:hint="default" w:ascii="Times New Roman" w:hAnsi="Times New Roman" w:eastAsia="楷体_GB2312" w:cs="Times New Roman"/>
              <w:bCs w:val="0"/>
              <w:i w:val="0"/>
              <w:iCs w:val="0"/>
              <w:caps w:val="0"/>
              <w:color w:val="auto"/>
              <w:spacing w:val="0"/>
              <w:szCs w:val="32"/>
              <w:highlight w:val="none"/>
              <w:shd w:val="clear"/>
              <w:lang w:val="en-US" w:eastAsia="zh-CN"/>
            </w:rPr>
            <w:t>推动干部能力作风持续向好</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_Toc693834234 \h </w:instrText>
          </w:r>
          <w:r>
            <w:rPr>
              <w:rFonts w:hint="default" w:ascii="Times New Roman" w:hAnsi="Times New Roman" w:cs="Times New Roman"/>
              <w:color w:val="auto"/>
            </w:rPr>
            <w:fldChar w:fldCharType="separate"/>
          </w:r>
          <w:r>
            <w:rPr>
              <w:rFonts w:hint="default" w:ascii="Times New Roman" w:hAnsi="Times New Roman" w:cs="Times New Roman"/>
              <w:color w:val="auto"/>
            </w:rPr>
            <w:t>82</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61888461">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_Toc1513054097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第三节 强化统一规划体系建设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_Toc1513054097 \h </w:instrText>
          </w:r>
          <w:r>
            <w:rPr>
              <w:rFonts w:hint="default" w:ascii="Times New Roman" w:hAnsi="Times New Roman" w:cs="Times New Roman"/>
              <w:color w:val="auto"/>
            </w:rPr>
            <w:fldChar w:fldCharType="separate"/>
          </w:r>
          <w:r>
            <w:rPr>
              <w:rFonts w:hint="default" w:ascii="Times New Roman" w:hAnsi="Times New Roman" w:cs="Times New Roman"/>
              <w:color w:val="auto"/>
            </w:rPr>
            <w:t>83</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2F6EF6FA">
          <w:pPr>
            <w:pStyle w:val="13"/>
            <w:tabs>
              <w:tab w:val="right" w:leader="dot" w:pos="8844"/>
            </w:tabs>
            <w:rPr>
              <w:rFonts w:hint="default" w:ascii="Times New Roman" w:hAnsi="Times New Roman" w:cs="Times New Roman"/>
              <w:color w:val="auto"/>
            </w:rPr>
          </w:pPr>
          <w:r>
            <w:rPr>
              <w:rFonts w:hint="default" w:ascii="Times New Roman" w:hAnsi="Times New Roman" w:cs="Times New Roman"/>
              <w:color w:val="auto"/>
              <w:spacing w:val="0"/>
              <w:szCs w:val="30"/>
              <w:highlight w:val="none"/>
              <w:u w:val="none" w:color="auto"/>
              <w:lang w:val="en-US" w:eastAsia="zh-CN"/>
            </w:rPr>
            <w:fldChar w:fldCharType="begin"/>
          </w:r>
          <w:r>
            <w:rPr>
              <w:rFonts w:hint="default" w:ascii="Times New Roman" w:hAnsi="Times New Roman" w:cs="Times New Roman"/>
              <w:color w:val="auto"/>
              <w:spacing w:val="0"/>
              <w:szCs w:val="30"/>
              <w:highlight w:val="none"/>
              <w:lang w:val="en-US" w:eastAsia="zh-CN"/>
            </w:rPr>
            <w:instrText xml:space="preserve"> HYPERLINK \l _Toc1840302049 </w:instrText>
          </w:r>
          <w:r>
            <w:rPr>
              <w:rFonts w:hint="default" w:ascii="Times New Roman" w:hAnsi="Times New Roman" w:cs="Times New Roman"/>
              <w:color w:val="auto"/>
              <w:spacing w:val="0"/>
              <w:szCs w:val="30"/>
              <w:highlight w:val="none"/>
              <w:lang w:val="en-US" w:eastAsia="zh-CN"/>
            </w:rPr>
            <w:fldChar w:fldCharType="separate"/>
          </w:r>
          <w:r>
            <w:rPr>
              <w:rFonts w:hint="default" w:ascii="Times New Roman" w:hAnsi="Times New Roman" w:eastAsia="楷体_GB2312" w:cs="Times New Roman"/>
              <w:bCs w:val="0"/>
              <w:i w:val="0"/>
              <w:iCs w:val="0"/>
              <w:caps w:val="0"/>
              <w:color w:val="auto"/>
              <w:spacing w:val="0"/>
              <w:szCs w:val="32"/>
              <w:highlight w:val="none"/>
              <w:shd w:val="clear" w:fill="FFFFFF"/>
              <w:lang w:val="en-US" w:eastAsia="zh-CN"/>
            </w:rPr>
            <w:t>第四节 健全完善评估监督机制</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_Toc1840302049 \h </w:instrText>
          </w:r>
          <w:r>
            <w:rPr>
              <w:rFonts w:hint="default" w:ascii="Times New Roman" w:hAnsi="Times New Roman" w:cs="Times New Roman"/>
              <w:color w:val="auto"/>
            </w:rPr>
            <w:fldChar w:fldCharType="separate"/>
          </w:r>
          <w:r>
            <w:rPr>
              <w:rFonts w:hint="default" w:ascii="Times New Roman" w:hAnsi="Times New Roman" w:cs="Times New Roman"/>
              <w:color w:val="auto"/>
            </w:rPr>
            <w:t>83</w:t>
          </w:r>
          <w:r>
            <w:rPr>
              <w:rFonts w:hint="default" w:ascii="Times New Roman" w:hAnsi="Times New Roman" w:cs="Times New Roman"/>
              <w:color w:val="auto"/>
            </w:rPr>
            <w:fldChar w:fldCharType="end"/>
          </w:r>
          <w:r>
            <w:rPr>
              <w:rFonts w:hint="default" w:ascii="Times New Roman" w:hAnsi="Times New Roman" w:cs="Times New Roman"/>
              <w:color w:val="auto"/>
              <w:spacing w:val="0"/>
              <w:szCs w:val="30"/>
              <w:highlight w:val="none"/>
              <w:u w:val="none" w:color="auto"/>
              <w:lang w:val="en-US" w:eastAsia="zh-CN"/>
            </w:rPr>
            <w:fldChar w:fldCharType="end"/>
          </w:r>
        </w:p>
        <w:p w14:paraId="7825B129">
          <w:pPr>
            <w:shd w:val="clear"/>
            <w:overflowPunct w:val="0"/>
            <w:rPr>
              <w:rFonts w:hint="default" w:ascii="Times New Roman" w:hAnsi="Times New Roman" w:cs="Times New Roman" w:eastAsiaTheme="minorEastAsia"/>
              <w:color w:val="auto"/>
              <w:spacing w:val="0"/>
              <w:kern w:val="2"/>
              <w:sz w:val="21"/>
              <w:szCs w:val="24"/>
              <w:highlight w:val="none"/>
              <w:u w:val="none" w:color="auto"/>
              <w:lang w:val="en-US" w:eastAsia="zh-CN" w:bidi="ar-SA"/>
            </w:rPr>
          </w:pPr>
          <w:r>
            <w:rPr>
              <w:rFonts w:hint="default" w:ascii="Times New Roman" w:hAnsi="Times New Roman" w:cs="Times New Roman"/>
              <w:color w:val="auto"/>
              <w:spacing w:val="0"/>
              <w:szCs w:val="30"/>
              <w:highlight w:val="none"/>
              <w:u w:val="none" w:color="auto"/>
              <w:lang w:val="en-US" w:eastAsia="zh-CN"/>
            </w:rPr>
            <w:fldChar w:fldCharType="end"/>
          </w:r>
        </w:p>
      </w:sdtContent>
    </w:sdt>
    <w:p w14:paraId="55DC0AB8">
      <w:pPr>
        <w:shd w:val="clear"/>
        <w:rPr>
          <w:rFonts w:hint="default" w:ascii="Times New Roman" w:hAnsi="Times New Roman" w:eastAsia="仿宋_GB2312" w:cs="Times New Roman"/>
          <w:color w:val="auto"/>
          <w:spacing w:val="0"/>
          <w:sz w:val="32"/>
          <w:szCs w:val="32"/>
          <w:highlight w:val="none"/>
          <w:u w:val="none" w:color="auto"/>
          <w:lang w:val="en-US" w:eastAsia="zh-CN"/>
        </w:rPr>
      </w:pPr>
    </w:p>
    <w:p w14:paraId="3432A0D3">
      <w:pPr>
        <w:pStyle w:val="14"/>
        <w:keepNext w:val="0"/>
        <w:keepLines w:val="0"/>
        <w:pageBreakBefore w:val="0"/>
        <w:widowControl/>
        <w:suppressLineNumbers w:val="0"/>
        <w:shd w:val="clear"/>
        <w:kinsoku/>
        <w:wordWrap/>
        <w:overflowPunct w:val="0"/>
        <w:topLinePunct w:val="0"/>
        <w:autoSpaceDE/>
        <w:autoSpaceDN/>
        <w:bidi w:val="0"/>
        <w:adjustRightInd/>
        <w:snapToGrid/>
        <w:spacing w:before="0" w:beforeAutospacing="0" w:after="0" w:afterAutospacing="0" w:line="600" w:lineRule="exact"/>
        <w:ind w:left="0" w:right="0" w:firstLine="632"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sectPr>
          <w:pgSz w:w="11906" w:h="16838"/>
          <w:pgMar w:top="1701" w:right="1531" w:bottom="1587" w:left="1531" w:header="851" w:footer="992" w:gutter="0"/>
          <w:pgNumType w:fmt="decimal" w:start="1"/>
          <w:cols w:space="0" w:num="1"/>
          <w:rtlGutter w:val="0"/>
          <w:docGrid w:type="linesAndChars" w:linePitch="615" w:charSpace="-849"/>
        </w:sectPr>
      </w:pPr>
    </w:p>
    <w:p w14:paraId="565432A9">
      <w:pPr>
        <w:spacing w:line="240" w:lineRule="auto"/>
        <w:ind w:firstLine="632"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“十五五”时期（2026—2030年）是基本实现社会主义现代化夯实基础、全面发力的关键时期，也是定陶区全面贯彻落实习近平新时代中国特色社会主义思想</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推进绿色低碳高质量发展</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奋力实现“后来居上”的重要阶段。科学编制并有效实施定陶区“十五五”规划，明确未来五年发展的战略目标、重点任务和重要举措，对全区加快推动高质量发展、为菏泽市接续建设社会主义现代化强市贡献定陶力量，具有重大而深远的意义。</w:t>
      </w:r>
    </w:p>
    <w:p w14:paraId="362CD5E7">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0" w:name="_Toc8629"/>
      <w:bookmarkStart w:id="1" w:name="_Toc18527"/>
      <w:bookmarkStart w:id="2" w:name="_Toc177223568"/>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第一章 绘就高质量发展新画卷 开启定陶现代化建设新征程</w:t>
      </w:r>
      <w:bookmarkEnd w:id="0"/>
      <w:bookmarkEnd w:id="1"/>
      <w:bookmarkEnd w:id="2"/>
    </w:p>
    <w:p w14:paraId="006C85A1">
      <w:pPr>
        <w:spacing w:line="240" w:lineRule="auto"/>
        <w:ind w:firstLine="632" w:firstLineChars="200"/>
        <w:rPr>
          <w:rFonts w:hint="default" w:ascii="Times New Roman" w:hAnsi="Times New Roman" w:cs="Times New Roman"/>
          <w:b w:val="0"/>
          <w:bCs w:val="0"/>
          <w:color w:val="auto"/>
          <w:kern w:val="0"/>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rPr>
        <w:t>“十四五”时期</w:t>
      </w:r>
      <w:r>
        <w:rPr>
          <w:rFonts w:hint="default" w:ascii="Times New Roman" w:hAnsi="Times New Roman" w:cs="Times New Roman"/>
          <w:color w:val="auto"/>
          <w:sz w:val="32"/>
          <w:szCs w:val="32"/>
          <w:highlight w:val="none"/>
          <w:u w:val="none" w:color="auto"/>
          <w:lang w:val="en-US" w:eastAsia="zh-CN"/>
        </w:rPr>
        <w:t>是定陶区迈向新时代社会主义现代化强区的关键五年</w:t>
      </w:r>
      <w:r>
        <w:rPr>
          <w:rFonts w:hint="default" w:ascii="Times New Roman" w:hAnsi="Times New Roman" w:cs="Times New Roman"/>
          <w:b w:val="0"/>
          <w:bCs w:val="0"/>
          <w:color w:val="auto"/>
          <w:kern w:val="0"/>
          <w:sz w:val="32"/>
          <w:szCs w:val="32"/>
          <w:highlight w:val="none"/>
          <w:u w:val="none" w:color="auto"/>
          <w:lang w:val="en-US" w:eastAsia="zh-CN"/>
        </w:rPr>
        <w:t>。过去五年，全区上下牢记习近平总书记“后来居上”的殷</w:t>
      </w:r>
      <w:r>
        <w:rPr>
          <w:rFonts w:hint="default" w:ascii="Times New Roman" w:hAnsi="Times New Roman" w:cs="Times New Roman"/>
          <w:b w:val="0"/>
          <w:bCs w:val="0"/>
          <w:color w:val="auto"/>
          <w:spacing w:val="-6"/>
          <w:kern w:val="0"/>
          <w:sz w:val="32"/>
          <w:szCs w:val="32"/>
          <w:highlight w:val="none"/>
          <w:u w:val="none" w:color="auto"/>
          <w:lang w:val="en-US" w:eastAsia="zh-CN"/>
        </w:rPr>
        <w:t>切嘱托，在市委、市政府的坚强领导下，全面贯彻习近平新时代中国特色社会主义思想，深入贯彻党的二十大和二十届历次全会精神，持续深入落实习近平总书记视察山东、视察菏泽重要讲话和重要指示批示精神，坚决把党的全面领导贯彻到各项工作推进中，坚持以改革创新为主线，全面促进稳增长、调结构、防风险，“十四五”主要目标任务基本完成，</w:t>
      </w:r>
      <w:r>
        <w:rPr>
          <w:rFonts w:hint="eastAsia" w:ascii="Times New Roman" w:hAnsi="Times New Roman" w:cs="Times New Roman"/>
          <w:b w:val="0"/>
          <w:bCs w:val="0"/>
          <w:color w:val="auto"/>
          <w:spacing w:val="-6"/>
          <w:kern w:val="0"/>
          <w:sz w:val="32"/>
          <w:szCs w:val="32"/>
          <w:highlight w:val="none"/>
          <w:u w:val="none" w:color="auto"/>
          <w:lang w:val="en-US" w:eastAsia="zh-CN"/>
        </w:rPr>
        <w:t>经济社会高质量发展迈出坚实步伐</w:t>
      </w:r>
      <w:r>
        <w:rPr>
          <w:rFonts w:hint="default" w:ascii="Times New Roman" w:hAnsi="Times New Roman" w:cs="Times New Roman"/>
          <w:b w:val="0"/>
          <w:bCs w:val="0"/>
          <w:color w:val="auto"/>
          <w:spacing w:val="-6"/>
          <w:kern w:val="0"/>
          <w:sz w:val="32"/>
          <w:szCs w:val="32"/>
          <w:highlight w:val="none"/>
          <w:u w:val="none" w:color="auto"/>
          <w:lang w:val="en-US" w:eastAsia="zh-CN"/>
        </w:rPr>
        <w:t>。</w:t>
      </w:r>
    </w:p>
    <w:p w14:paraId="3FE46A7D">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3" w:name="_Toc25001"/>
      <w:bookmarkStart w:id="4" w:name="_Toc1577098929"/>
      <w:bookmarkStart w:id="5" w:name="_Toc3170"/>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“十四五”时期经济社会发展取得</w:t>
      </w:r>
      <w:r>
        <w:rPr>
          <w:rStyle w:val="19"/>
          <w:rFonts w:hint="eastAsia"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的</w:t>
      </w:r>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显著成效</w:t>
      </w:r>
      <w:bookmarkEnd w:id="3"/>
      <w:bookmarkEnd w:id="4"/>
      <w:bookmarkEnd w:id="5"/>
    </w:p>
    <w:p w14:paraId="7BCABE18">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shd w:val="clear"/>
          <w:lang w:val="en-US" w:eastAsia="zh-CN"/>
        </w:rPr>
      </w:pPr>
      <w:r>
        <w:rPr>
          <w:rFonts w:hint="default" w:ascii="Times New Roman" w:hAnsi="Times New Roman" w:eastAsia="仿宋_GB2312" w:cs="Times New Roman"/>
          <w:b/>
          <w:bCs/>
          <w:color w:val="auto"/>
          <w:spacing w:val="0"/>
          <w:kern w:val="0"/>
          <w:sz w:val="32"/>
          <w:szCs w:val="32"/>
          <w:highlight w:val="none"/>
          <w:u w:val="none" w:color="auto"/>
          <w:lang w:val="en-US" w:eastAsia="zh-CN"/>
        </w:rPr>
        <w:t>综合实力迈上新台阶。</w:t>
      </w:r>
      <w:r>
        <w:rPr>
          <w:rFonts w:hint="default" w:ascii="Times New Roman" w:hAnsi="Times New Roman" w:eastAsia="仿宋_GB2312" w:cs="Times New Roman"/>
          <w:color w:val="auto"/>
          <w:spacing w:val="0"/>
          <w:kern w:val="0"/>
          <w:sz w:val="32"/>
          <w:szCs w:val="32"/>
          <w:highlight w:val="none"/>
          <w:u w:val="none" w:color="auto"/>
          <w:lang w:val="en-US" w:eastAsia="zh-CN"/>
        </w:rPr>
        <w:t>“十四五”时期，全区经济发展质量效益稳步提升，地区生产总值</w:t>
      </w:r>
      <w:r>
        <w:rPr>
          <w:rFonts w:hint="default" w:ascii="Times New Roman" w:hAnsi="Times New Roman" w:cs="Times New Roman"/>
          <w:color w:val="auto"/>
          <w:spacing w:val="0"/>
          <w:kern w:val="0"/>
          <w:sz w:val="32"/>
          <w:szCs w:val="32"/>
          <w:highlight w:val="none"/>
          <w:u w:val="none" w:color="auto"/>
          <w:lang w:val="en-US" w:eastAsia="zh-CN"/>
        </w:rPr>
        <w:t>达到</w:t>
      </w:r>
      <w:r>
        <w:rPr>
          <w:rFonts w:hint="eastAsia" w:ascii="Times New Roman" w:hAnsi="Times New Roman" w:cs="Times New Roman"/>
          <w:color w:val="auto"/>
          <w:spacing w:val="0"/>
          <w:kern w:val="0"/>
          <w:sz w:val="32"/>
          <w:szCs w:val="32"/>
          <w:highlight w:val="none"/>
          <w:u w:val="none" w:color="auto"/>
          <w:lang w:val="en-US" w:eastAsia="zh-CN"/>
        </w:rPr>
        <w:t>266.7</w:t>
      </w:r>
      <w:r>
        <w:rPr>
          <w:rFonts w:hint="default" w:ascii="Times New Roman" w:hAnsi="Times New Roman" w:eastAsia="仿宋_GB2312" w:cs="Times New Roman"/>
          <w:color w:val="auto"/>
          <w:spacing w:val="0"/>
          <w:kern w:val="0"/>
          <w:sz w:val="32"/>
          <w:szCs w:val="32"/>
          <w:highlight w:val="none"/>
          <w:u w:val="none" w:color="auto"/>
          <w:lang w:val="en-US" w:eastAsia="zh-CN"/>
        </w:rPr>
        <w:t>亿元，完成国内税收81.21亿元，</w:t>
      </w:r>
      <w:r>
        <w:rPr>
          <w:rFonts w:hint="default" w:ascii="Times New Roman" w:hAnsi="Times New Roman" w:eastAsia="仿宋_GB2312" w:cs="Times New Roman"/>
          <w:color w:val="auto"/>
          <w:spacing w:val="0"/>
          <w:kern w:val="0"/>
          <w:sz w:val="32"/>
          <w:szCs w:val="32"/>
          <w:highlight w:val="none"/>
          <w:u w:val="none" w:color="auto"/>
          <w:shd w:val="clear"/>
          <w:lang w:val="en-US" w:eastAsia="zh-CN"/>
        </w:rPr>
        <w:t>先后获批全省绿色低碳高质量发展先行区建设综合性区域试点、省级农业绿色发展先行县、全省促进工业稳增长和转型升级成效明显县区、全省十大“2024年度县域经济高质量发展特色典型”，被省政府表彰为“2024年度县域经济高质量发展进步明显的县区”，在更高质量、更可持续的发展道路上迈出了坚实步伐</w:t>
      </w:r>
      <w:r>
        <w:rPr>
          <w:rFonts w:hint="eastAsia" w:ascii="Times New Roman" w:hAnsi="Times New Roman" w:cs="Times New Roman"/>
          <w:color w:val="auto"/>
          <w:spacing w:val="0"/>
          <w:kern w:val="0"/>
          <w:sz w:val="32"/>
          <w:szCs w:val="32"/>
          <w:highlight w:val="none"/>
          <w:u w:val="none" w:color="auto"/>
          <w:shd w:val="clear"/>
          <w:lang w:val="en-US" w:eastAsia="zh-CN"/>
        </w:rPr>
        <w:t>。</w:t>
      </w:r>
    </w:p>
    <w:p w14:paraId="2637EE81">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lang w:val="en-US" w:eastAsia="zh-CN"/>
        </w:rPr>
      </w:pPr>
      <w:r>
        <w:rPr>
          <w:rFonts w:hint="default" w:ascii="Times New Roman" w:hAnsi="Times New Roman" w:eastAsia="仿宋_GB2312" w:cs="Times New Roman"/>
          <w:b/>
          <w:bCs/>
          <w:color w:val="auto"/>
          <w:spacing w:val="0"/>
          <w:kern w:val="0"/>
          <w:sz w:val="32"/>
          <w:szCs w:val="32"/>
          <w:highlight w:val="none"/>
          <w:u w:val="none" w:color="auto"/>
          <w:lang w:val="en-US" w:eastAsia="zh-CN"/>
        </w:rPr>
        <w:t>产业转型注入新动力。</w:t>
      </w:r>
      <w:r>
        <w:rPr>
          <w:rFonts w:hint="default" w:ascii="Times New Roman" w:hAnsi="Times New Roman" w:eastAsia="仿宋_GB2312" w:cs="Times New Roman"/>
          <w:color w:val="auto"/>
          <w:spacing w:val="0"/>
          <w:kern w:val="0"/>
          <w:sz w:val="32"/>
          <w:szCs w:val="32"/>
          <w:highlight w:val="none"/>
          <w:u w:val="none" w:color="auto"/>
          <w:lang w:val="en-US" w:eastAsia="zh-CN"/>
        </w:rPr>
        <w:t>坚定不移实施“工业强区”战略</w:t>
      </w:r>
      <w:r>
        <w:rPr>
          <w:rFonts w:hint="eastAsia" w:ascii="Times New Roman" w:hAnsi="Times New Roman" w:cs="Times New Roman"/>
          <w:color w:val="auto"/>
          <w:spacing w:val="0"/>
          <w:kern w:val="0"/>
          <w:sz w:val="32"/>
          <w:szCs w:val="32"/>
          <w:highlight w:val="none"/>
          <w:u w:val="none" w:color="auto"/>
          <w:lang w:val="en-US" w:eastAsia="zh-CN"/>
        </w:rPr>
        <w:t>，</w:t>
      </w:r>
      <w:r>
        <w:rPr>
          <w:rFonts w:hint="eastAsia" w:ascii="Times New Roman" w:hAnsi="Times New Roman" w:cs="Times New Roman"/>
          <w:color w:val="auto"/>
          <w:spacing w:val="0"/>
          <w:kern w:val="0"/>
          <w:sz w:val="32"/>
          <w:szCs w:val="32"/>
          <w:highlight w:val="none"/>
          <w:u w:val="none" w:color="auto"/>
          <w:shd w:val="clear"/>
          <w:lang w:val="en-US" w:eastAsia="zh-CN"/>
        </w:rPr>
        <w:t>工业用电量和工业税收年均分别增长6.09%和5.04%、均居全市前三，累计引进重点工业项目53个，税收过千万元的工业企业由4家增至9家</w:t>
      </w:r>
      <w:r>
        <w:rPr>
          <w:rFonts w:hint="eastAsia" w:ascii="Times New Roman" w:hAnsi="Times New Roman" w:cs="Times New Roman"/>
          <w:color w:val="auto"/>
          <w:spacing w:val="0"/>
          <w:kern w:val="0"/>
          <w:sz w:val="32"/>
          <w:szCs w:val="32"/>
          <w:highlight w:val="none"/>
          <w:u w:val="none" w:color="auto"/>
          <w:lang w:val="en-US" w:eastAsia="zh-CN"/>
        </w:rPr>
        <w:t>。</w:t>
      </w:r>
      <w:r>
        <w:rPr>
          <w:rFonts w:hint="default" w:ascii="Times New Roman" w:hAnsi="Times New Roman" w:eastAsia="仿宋_GB2312" w:cs="Times New Roman"/>
          <w:color w:val="auto"/>
          <w:spacing w:val="0"/>
          <w:kern w:val="0"/>
          <w:sz w:val="32"/>
          <w:szCs w:val="32"/>
          <w:highlight w:val="none"/>
          <w:u w:val="none" w:color="auto"/>
          <w:lang w:val="en-US" w:eastAsia="zh-CN"/>
        </w:rPr>
        <w:t>全面推行“链长制”，按照立桩建链、延链补链、聚链成群、融通强链的工作思路，</w:t>
      </w:r>
      <w:r>
        <w:rPr>
          <w:rFonts w:hint="eastAsia" w:ascii="Times New Roman" w:hAnsi="Times New Roman" w:cs="Times New Roman"/>
          <w:color w:val="auto"/>
          <w:spacing w:val="0"/>
          <w:kern w:val="0"/>
          <w:sz w:val="32"/>
          <w:szCs w:val="32"/>
          <w:highlight w:val="none"/>
          <w:u w:val="none" w:color="auto"/>
          <w:lang w:val="en-US" w:eastAsia="zh-CN"/>
        </w:rPr>
        <w:t>构建了</w:t>
      </w:r>
      <w:r>
        <w:rPr>
          <w:rFonts w:hint="default" w:ascii="Times New Roman" w:hAnsi="Times New Roman" w:cs="Times New Roman"/>
          <w:color w:val="auto"/>
          <w:spacing w:val="0"/>
          <w:kern w:val="0"/>
          <w:sz w:val="32"/>
          <w:szCs w:val="32"/>
          <w:highlight w:val="none"/>
          <w:u w:val="none" w:color="auto"/>
          <w:lang w:val="en-US" w:eastAsia="zh-CN"/>
        </w:rPr>
        <w:t>现代医药</w:t>
      </w:r>
      <w:r>
        <w:rPr>
          <w:rFonts w:hint="default" w:ascii="Times New Roman" w:hAnsi="Times New Roman" w:eastAsia="仿宋_GB2312" w:cs="Times New Roman"/>
          <w:color w:val="auto"/>
          <w:spacing w:val="0"/>
          <w:kern w:val="0"/>
          <w:sz w:val="32"/>
          <w:szCs w:val="32"/>
          <w:highlight w:val="none"/>
          <w:u w:val="none" w:color="auto"/>
          <w:lang w:val="en-US" w:eastAsia="zh-CN"/>
        </w:rPr>
        <w:t>、新材料、新能源三大主导产业板块，成功培育了甾体类药物、抗生素类药物、电子屏蔽材料、高端纤维新材料等特色产业链条。农副产品精深加工产业加快转型升级，汽车服务、休闲康养旅游等多个特色产业竞相发展。</w:t>
      </w:r>
    </w:p>
    <w:p w14:paraId="513404EA">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lang w:val="en-US" w:eastAsia="zh-CN"/>
        </w:rPr>
      </w:pPr>
      <w:r>
        <w:rPr>
          <w:rFonts w:hint="default" w:ascii="Times New Roman" w:hAnsi="Times New Roman" w:eastAsia="仿宋_GB2312" w:cs="Times New Roman"/>
          <w:b/>
          <w:bCs/>
          <w:color w:val="auto"/>
          <w:spacing w:val="0"/>
          <w:kern w:val="0"/>
          <w:sz w:val="32"/>
          <w:szCs w:val="32"/>
          <w:highlight w:val="none"/>
          <w:u w:val="none" w:color="auto"/>
          <w:lang w:val="en-US" w:eastAsia="zh-CN"/>
        </w:rPr>
        <w:t>创新发展实现新突破。</w:t>
      </w:r>
      <w:r>
        <w:rPr>
          <w:rFonts w:hint="default" w:ascii="Times New Roman" w:hAnsi="Times New Roman" w:eastAsia="仿宋_GB2312" w:cs="Times New Roman"/>
          <w:color w:val="auto"/>
          <w:spacing w:val="0"/>
          <w:kern w:val="0"/>
          <w:sz w:val="32"/>
          <w:szCs w:val="32"/>
          <w:highlight w:val="none"/>
          <w:u w:val="none" w:color="auto"/>
          <w:lang w:val="en-US" w:eastAsia="zh-CN"/>
        </w:rPr>
        <w:t>智改数转纵深推进，全区规上工业企业数字化转型覆盖率达到83%。</w:t>
      </w:r>
      <w:r>
        <w:rPr>
          <w:rFonts w:hint="eastAsia" w:ascii="Times New Roman" w:hAnsi="Times New Roman" w:cs="Times New Roman"/>
          <w:color w:val="auto"/>
          <w:spacing w:val="0"/>
          <w:kern w:val="0"/>
          <w:sz w:val="32"/>
          <w:szCs w:val="32"/>
          <w:highlight w:val="none"/>
          <w:u w:val="none" w:color="auto"/>
          <w:lang w:val="en-US" w:eastAsia="zh-CN"/>
        </w:rPr>
        <w:t>培育</w:t>
      </w:r>
      <w:r>
        <w:rPr>
          <w:rFonts w:hint="default" w:ascii="Times New Roman" w:hAnsi="Times New Roman" w:eastAsia="仿宋_GB2312" w:cs="Times New Roman"/>
          <w:color w:val="auto"/>
          <w:spacing w:val="0"/>
          <w:kern w:val="0"/>
          <w:sz w:val="32"/>
          <w:szCs w:val="32"/>
          <w:highlight w:val="none"/>
          <w:u w:val="none" w:color="auto"/>
          <w:lang w:val="en-US" w:eastAsia="zh-CN"/>
        </w:rPr>
        <w:t>泰山产业领军人才</w:t>
      </w:r>
      <w:r>
        <w:rPr>
          <w:rFonts w:hint="default" w:ascii="Times New Roman" w:hAnsi="Times New Roman" w:cs="Times New Roman"/>
          <w:color w:val="auto"/>
          <w:spacing w:val="0"/>
          <w:kern w:val="0"/>
          <w:sz w:val="32"/>
          <w:szCs w:val="32"/>
          <w:highlight w:val="none"/>
          <w:u w:val="none" w:color="auto"/>
          <w:lang w:val="en-US" w:eastAsia="zh-CN"/>
        </w:rPr>
        <w:t>3</w:t>
      </w:r>
      <w:r>
        <w:rPr>
          <w:rFonts w:hint="eastAsia" w:ascii="Times New Roman" w:hAnsi="Times New Roman" w:cs="Times New Roman"/>
          <w:color w:val="auto"/>
          <w:spacing w:val="0"/>
          <w:kern w:val="0"/>
          <w:sz w:val="32"/>
          <w:szCs w:val="32"/>
          <w:highlight w:val="none"/>
          <w:u w:val="none" w:color="auto"/>
          <w:lang w:val="en-US" w:eastAsia="zh-CN"/>
        </w:rPr>
        <w:t>人、</w:t>
      </w:r>
      <w:r>
        <w:rPr>
          <w:rFonts w:hint="default" w:ascii="Times New Roman" w:hAnsi="Times New Roman" w:eastAsia="仿宋_GB2312" w:cs="Times New Roman"/>
          <w:color w:val="auto"/>
          <w:spacing w:val="0"/>
          <w:kern w:val="0"/>
          <w:sz w:val="32"/>
          <w:szCs w:val="32"/>
          <w:highlight w:val="none"/>
          <w:u w:val="none" w:color="auto"/>
          <w:lang w:val="en-US" w:eastAsia="zh-CN"/>
        </w:rPr>
        <w:t>高端人才团队25个，人才智力势能持续积聚。充分激发人才引领创新型企业培育效能，培育国家级高新技术企业</w:t>
      </w:r>
      <w:r>
        <w:rPr>
          <w:rFonts w:hint="default" w:ascii="Times New Roman" w:hAnsi="Times New Roman" w:cs="Times New Roman"/>
          <w:color w:val="auto"/>
          <w:spacing w:val="0"/>
          <w:kern w:val="0"/>
          <w:sz w:val="32"/>
          <w:szCs w:val="32"/>
          <w:highlight w:val="none"/>
          <w:u w:val="none" w:color="auto"/>
          <w:lang w:val="en-US" w:eastAsia="zh-CN"/>
        </w:rPr>
        <w:t>37</w:t>
      </w:r>
      <w:r>
        <w:rPr>
          <w:rFonts w:hint="default" w:ascii="Times New Roman" w:hAnsi="Times New Roman" w:eastAsia="仿宋_GB2312" w:cs="Times New Roman"/>
          <w:color w:val="auto"/>
          <w:spacing w:val="0"/>
          <w:kern w:val="0"/>
          <w:sz w:val="32"/>
          <w:szCs w:val="32"/>
          <w:highlight w:val="none"/>
          <w:u w:val="none" w:color="auto"/>
          <w:lang w:val="en-US" w:eastAsia="zh-CN"/>
        </w:rPr>
        <w:t>家、“小巨人”企业2家、重点“小巨人”企业1家，省级“专精特新”企业、瞪羚企业、制造业单项冠军企业分别新增3</w:t>
      </w:r>
      <w:r>
        <w:rPr>
          <w:rFonts w:hint="default" w:ascii="Times New Roman" w:hAnsi="Times New Roman" w:cs="Times New Roman"/>
          <w:color w:val="auto"/>
          <w:spacing w:val="0"/>
          <w:kern w:val="0"/>
          <w:sz w:val="32"/>
          <w:szCs w:val="32"/>
          <w:highlight w:val="none"/>
          <w:u w:val="none" w:color="auto"/>
          <w:lang w:val="en-US" w:eastAsia="zh-CN"/>
        </w:rPr>
        <w:t>1</w:t>
      </w:r>
      <w:r>
        <w:rPr>
          <w:rFonts w:hint="default" w:ascii="Times New Roman" w:hAnsi="Times New Roman" w:eastAsia="仿宋_GB2312" w:cs="Times New Roman"/>
          <w:color w:val="auto"/>
          <w:spacing w:val="0"/>
          <w:kern w:val="0"/>
          <w:sz w:val="32"/>
          <w:szCs w:val="32"/>
          <w:highlight w:val="none"/>
          <w:u w:val="none" w:color="auto"/>
          <w:lang w:val="en-US" w:eastAsia="zh-CN"/>
        </w:rPr>
        <w:t>家、9家、3家，推动</w:t>
      </w:r>
      <w:r>
        <w:rPr>
          <w:rFonts w:hint="default" w:ascii="Times New Roman" w:hAnsi="Times New Roman" w:cs="Times New Roman"/>
          <w:color w:val="auto"/>
          <w:spacing w:val="0"/>
          <w:kern w:val="0"/>
          <w:sz w:val="32"/>
          <w:szCs w:val="32"/>
          <w:highlight w:val="none"/>
          <w:u w:val="none" w:color="auto"/>
          <w:lang w:val="en-US" w:eastAsia="zh-CN"/>
        </w:rPr>
        <w:t>一批</w:t>
      </w:r>
      <w:r>
        <w:rPr>
          <w:rFonts w:hint="default" w:ascii="Times New Roman" w:hAnsi="Times New Roman" w:eastAsia="仿宋_GB2312" w:cs="Times New Roman"/>
          <w:color w:val="auto"/>
          <w:spacing w:val="0"/>
          <w:kern w:val="0"/>
          <w:sz w:val="32"/>
          <w:szCs w:val="32"/>
          <w:highlight w:val="none"/>
          <w:u w:val="none" w:color="auto"/>
          <w:lang w:val="en-US" w:eastAsia="zh-CN"/>
        </w:rPr>
        <w:t>优质企业提档升级，聚力承接各类关键要素资源。</w:t>
      </w:r>
    </w:p>
    <w:p w14:paraId="3E9A9BEE">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lang w:val="en-US" w:eastAsia="zh-CN"/>
        </w:rPr>
      </w:pPr>
      <w:r>
        <w:rPr>
          <w:rFonts w:hint="default" w:ascii="Times New Roman" w:hAnsi="Times New Roman" w:eastAsia="仿宋_GB2312" w:cs="Times New Roman"/>
          <w:b/>
          <w:bCs/>
          <w:color w:val="auto"/>
          <w:spacing w:val="0"/>
          <w:kern w:val="0"/>
          <w:sz w:val="32"/>
          <w:szCs w:val="32"/>
          <w:highlight w:val="none"/>
          <w:u w:val="none" w:color="auto"/>
          <w:lang w:val="en-US" w:eastAsia="zh-CN"/>
        </w:rPr>
        <w:t>城乡融合呈现新气象。</w:t>
      </w:r>
      <w:r>
        <w:rPr>
          <w:rFonts w:hint="eastAsia" w:ascii="Times New Roman" w:hAnsi="Times New Roman" w:eastAsia="仿宋_GB2312" w:cs="Times New Roman"/>
          <w:color w:val="auto"/>
          <w:spacing w:val="0"/>
          <w:kern w:val="0"/>
          <w:sz w:val="32"/>
          <w:szCs w:val="32"/>
          <w:highlight w:val="none"/>
          <w:u w:val="none" w:color="auto"/>
          <w:lang w:val="en-US" w:eastAsia="zh-CN"/>
        </w:rPr>
        <w:t>新型</w:t>
      </w:r>
      <w:r>
        <w:rPr>
          <w:rFonts w:hint="default" w:ascii="Times New Roman" w:hAnsi="Times New Roman" w:eastAsia="仿宋_GB2312" w:cs="Times New Roman"/>
          <w:color w:val="auto"/>
          <w:spacing w:val="0"/>
          <w:kern w:val="0"/>
          <w:sz w:val="32"/>
          <w:szCs w:val="32"/>
          <w:highlight w:val="none"/>
          <w:u w:val="none" w:color="auto"/>
          <w:lang w:val="en-US" w:eastAsia="zh-CN"/>
        </w:rPr>
        <w:t>城镇化进程步伐坚实，中心城区面积扩展到47.4平方公里，相继建成交付回迁安置区23个、安置房2.39万套，完成改造老旧小区20个，</w:t>
      </w:r>
      <w:r>
        <w:rPr>
          <w:rFonts w:hint="default" w:ascii="Times New Roman" w:hAnsi="Times New Roman" w:cs="Times New Roman"/>
          <w:color w:val="auto"/>
          <w:spacing w:val="0"/>
          <w:kern w:val="0"/>
          <w:sz w:val="32"/>
          <w:szCs w:val="32"/>
          <w:highlight w:val="none"/>
          <w:u w:val="none" w:color="auto"/>
          <w:lang w:val="en-US" w:eastAsia="zh-CN"/>
        </w:rPr>
        <w:t>12</w:t>
      </w:r>
      <w:r>
        <w:rPr>
          <w:rFonts w:hint="default" w:ascii="Times New Roman" w:hAnsi="Times New Roman" w:eastAsia="仿宋_GB2312" w:cs="Times New Roman"/>
          <w:color w:val="auto"/>
          <w:spacing w:val="0"/>
          <w:kern w:val="0"/>
          <w:sz w:val="32"/>
          <w:szCs w:val="32"/>
          <w:highlight w:val="none"/>
          <w:u w:val="none" w:color="auto"/>
          <w:lang w:val="en-US" w:eastAsia="zh-CN"/>
        </w:rPr>
        <w:t>个保交楼顺利交付，</w:t>
      </w:r>
      <w:r>
        <w:rPr>
          <w:rFonts w:hint="default" w:ascii="Times New Roman" w:hAnsi="Times New Roman" w:cs="Times New Roman"/>
          <w:color w:val="auto"/>
          <w:spacing w:val="0"/>
          <w:kern w:val="0"/>
          <w:sz w:val="32"/>
          <w:szCs w:val="32"/>
          <w:highlight w:val="none"/>
          <w:u w:val="none" w:color="auto"/>
          <w:lang w:val="en-US" w:eastAsia="zh-CN"/>
        </w:rPr>
        <w:t>6.6</w:t>
      </w:r>
      <w:r>
        <w:rPr>
          <w:rFonts w:hint="default" w:ascii="Times New Roman" w:hAnsi="Times New Roman" w:eastAsia="仿宋_GB2312" w:cs="Times New Roman"/>
          <w:color w:val="auto"/>
          <w:spacing w:val="0"/>
          <w:kern w:val="0"/>
          <w:sz w:val="32"/>
          <w:szCs w:val="32"/>
          <w:highlight w:val="none"/>
          <w:u w:val="none" w:color="auto"/>
          <w:lang w:val="en-US" w:eastAsia="zh-CN"/>
        </w:rPr>
        <w:t>万余名群众实现住有所居、住有宜居。乡村建设扎实推进，打造国家级乡村治理示范村2个</w:t>
      </w:r>
      <w:r>
        <w:rPr>
          <w:rFonts w:hint="eastAsia" w:ascii="Times New Roman" w:hAnsi="Times New Roman" w:cs="Times New Roman"/>
          <w:color w:val="auto"/>
          <w:spacing w:val="0"/>
          <w:kern w:val="0"/>
          <w:sz w:val="32"/>
          <w:szCs w:val="32"/>
          <w:highlight w:val="none"/>
          <w:u w:val="none" w:color="auto"/>
          <w:lang w:val="en-US" w:eastAsia="zh-CN"/>
        </w:rPr>
        <w:t>，</w:t>
      </w:r>
      <w:r>
        <w:rPr>
          <w:rFonts w:hint="default" w:ascii="Times New Roman" w:hAnsi="Times New Roman" w:eastAsia="仿宋_GB2312" w:cs="Times New Roman"/>
          <w:color w:val="auto"/>
          <w:spacing w:val="0"/>
          <w:kern w:val="0"/>
          <w:sz w:val="32"/>
          <w:szCs w:val="32"/>
          <w:highlight w:val="none"/>
          <w:u w:val="none" w:color="auto"/>
          <w:lang w:val="en-US" w:eastAsia="zh-CN"/>
        </w:rPr>
        <w:t>省级乡村振兴片区5个、美丽乡村13个、“五好两宜”和美乡村12个。数字乡村发展成效明显，获批“第二批山东省数字乡村试点”</w:t>
      </w:r>
      <w:r>
        <w:rPr>
          <w:rFonts w:hint="default" w:ascii="Times New Roman" w:hAnsi="Times New Roman" w:cs="Times New Roman"/>
          <w:color w:val="auto"/>
          <w:spacing w:val="0"/>
          <w:kern w:val="0"/>
          <w:sz w:val="32"/>
          <w:szCs w:val="32"/>
          <w:highlight w:val="none"/>
          <w:u w:val="none" w:color="auto"/>
          <w:lang w:val="en-US" w:eastAsia="zh-CN"/>
        </w:rPr>
        <w:t>和</w:t>
      </w:r>
      <w:r>
        <w:rPr>
          <w:rFonts w:hint="default" w:ascii="Times New Roman" w:hAnsi="Times New Roman" w:eastAsia="仿宋_GB2312" w:cs="Times New Roman"/>
          <w:color w:val="auto"/>
          <w:spacing w:val="0"/>
          <w:kern w:val="0"/>
          <w:sz w:val="32"/>
          <w:szCs w:val="32"/>
          <w:highlight w:val="none"/>
          <w:u w:val="none" w:color="auto"/>
          <w:lang w:val="en-US" w:eastAsia="zh-CN"/>
        </w:rPr>
        <w:t>“省级首批县域数字农业创建单位”。</w:t>
      </w:r>
    </w:p>
    <w:p w14:paraId="2E65F299">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lang w:val="en-US" w:eastAsia="zh-CN"/>
        </w:rPr>
      </w:pPr>
      <w:r>
        <w:rPr>
          <w:rFonts w:hint="eastAsia" w:ascii="Times New Roman" w:hAnsi="Times New Roman" w:cs="Times New Roman"/>
          <w:b/>
          <w:bCs/>
          <w:color w:val="auto"/>
          <w:spacing w:val="0"/>
          <w:kern w:val="0"/>
          <w:sz w:val="32"/>
          <w:szCs w:val="32"/>
          <w:highlight w:val="none"/>
          <w:u w:val="none" w:color="auto"/>
          <w:lang w:val="en-US" w:eastAsia="zh-CN"/>
        </w:rPr>
        <w:t>深化改革取得新进展</w:t>
      </w:r>
      <w:r>
        <w:rPr>
          <w:rFonts w:hint="default" w:ascii="Times New Roman" w:hAnsi="Times New Roman" w:eastAsia="仿宋_GB2312" w:cs="Times New Roman"/>
          <w:b/>
          <w:bCs/>
          <w:color w:val="auto"/>
          <w:spacing w:val="0"/>
          <w:kern w:val="0"/>
          <w:sz w:val="32"/>
          <w:szCs w:val="32"/>
          <w:highlight w:val="none"/>
          <w:u w:val="none" w:color="auto"/>
          <w:lang w:val="en-US" w:eastAsia="zh-CN"/>
        </w:rPr>
        <w:t>。</w:t>
      </w:r>
      <w:r>
        <w:rPr>
          <w:rFonts w:hint="default" w:ascii="Times New Roman" w:hAnsi="Times New Roman" w:eastAsia="仿宋_GB2312" w:cs="Times New Roman"/>
          <w:color w:val="auto"/>
          <w:spacing w:val="0"/>
          <w:kern w:val="0"/>
          <w:sz w:val="32"/>
          <w:szCs w:val="32"/>
          <w:highlight w:val="none"/>
          <w:u w:val="none" w:color="auto"/>
          <w:lang w:val="en-US" w:eastAsia="zh-CN"/>
        </w:rPr>
        <w:t>坚持以改革开路、以创新赋能，30项改革创新经验获国家层面发文推广，21项获省市领导签批肯定；争创国家、省级改革试点43项，完成31项。“放管服”改革持续深化，“一业一证”改革延伸至镇街，行政审批、财税体制等重点改革蹄疾步稳，高效办理“一件事”业务3万余件，社会投资简易低风险项目审批时限压减近90%。创新“参谋式、伙伴式”服务模式，全面推行重点项目领办负责制，制定出台《进一步助企帮扶推动工业经济稳进提质的若干措施》，制作《定陶区优势产品目录清单》，常态化开展助企纾困、市场对接</w:t>
      </w:r>
      <w:r>
        <w:rPr>
          <w:rFonts w:hint="default" w:ascii="Times New Roman" w:hAnsi="Times New Roman" w:cs="Times New Roman"/>
          <w:color w:val="auto"/>
          <w:spacing w:val="0"/>
          <w:kern w:val="0"/>
          <w:sz w:val="32"/>
          <w:szCs w:val="32"/>
          <w:highlight w:val="none"/>
          <w:u w:val="none" w:color="auto"/>
          <w:lang w:val="en-US" w:eastAsia="zh-CN"/>
        </w:rPr>
        <w:t>和</w:t>
      </w:r>
      <w:r>
        <w:rPr>
          <w:rFonts w:hint="default" w:ascii="Times New Roman" w:hAnsi="Times New Roman" w:eastAsia="仿宋_GB2312" w:cs="Times New Roman"/>
          <w:color w:val="auto"/>
          <w:spacing w:val="0"/>
          <w:kern w:val="0"/>
          <w:sz w:val="32"/>
          <w:szCs w:val="32"/>
          <w:highlight w:val="none"/>
          <w:u w:val="none" w:color="auto"/>
          <w:lang w:val="en-US" w:eastAsia="zh-CN"/>
        </w:rPr>
        <w:t>合作推介，持续厚植政策惠企、市场助企的丰沃土壤，营商环境显著提升。</w:t>
      </w:r>
    </w:p>
    <w:p w14:paraId="39FF9343">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lang w:val="en-US" w:eastAsia="zh-CN"/>
        </w:rPr>
      </w:pPr>
      <w:r>
        <w:rPr>
          <w:rFonts w:hint="default" w:ascii="Times New Roman" w:hAnsi="Times New Roman" w:eastAsia="仿宋_GB2312" w:cs="Times New Roman"/>
          <w:b/>
          <w:bCs/>
          <w:color w:val="auto"/>
          <w:spacing w:val="0"/>
          <w:kern w:val="0"/>
          <w:sz w:val="32"/>
          <w:szCs w:val="32"/>
          <w:highlight w:val="none"/>
          <w:u w:val="none" w:color="auto"/>
          <w:lang w:val="en-US" w:eastAsia="zh-CN"/>
        </w:rPr>
        <w:t>基础设施得到新</w:t>
      </w:r>
      <w:r>
        <w:rPr>
          <w:rFonts w:hint="default" w:ascii="Times New Roman" w:hAnsi="Times New Roman" w:cs="Times New Roman"/>
          <w:b/>
          <w:bCs/>
          <w:color w:val="auto"/>
          <w:spacing w:val="0"/>
          <w:kern w:val="0"/>
          <w:sz w:val="32"/>
          <w:szCs w:val="32"/>
          <w:highlight w:val="none"/>
          <w:u w:val="none" w:color="auto"/>
          <w:lang w:val="en-US" w:eastAsia="zh-CN"/>
        </w:rPr>
        <w:t>提升</w:t>
      </w:r>
      <w:r>
        <w:rPr>
          <w:rFonts w:hint="default" w:ascii="Times New Roman" w:hAnsi="Times New Roman" w:eastAsia="仿宋_GB2312" w:cs="Times New Roman"/>
          <w:b/>
          <w:bCs/>
          <w:color w:val="auto"/>
          <w:spacing w:val="0"/>
          <w:kern w:val="0"/>
          <w:sz w:val="32"/>
          <w:szCs w:val="32"/>
          <w:highlight w:val="none"/>
          <w:u w:val="none" w:color="auto"/>
          <w:lang w:val="en-US" w:eastAsia="zh-CN"/>
        </w:rPr>
        <w:t>。</w:t>
      </w:r>
      <w:r>
        <w:rPr>
          <w:rFonts w:hint="default" w:ascii="Times New Roman" w:hAnsi="Times New Roman" w:eastAsia="仿宋_GB2312" w:cs="Times New Roman"/>
          <w:color w:val="auto"/>
          <w:spacing w:val="0"/>
          <w:kern w:val="0"/>
          <w:sz w:val="32"/>
          <w:szCs w:val="32"/>
          <w:highlight w:val="none"/>
          <w:u w:val="none" w:color="auto"/>
          <w:lang w:val="en-US" w:eastAsia="zh-CN"/>
        </w:rPr>
        <w:t>牡丹机场、鲁南高铁、枣菏高速相继建成投用，雄商高铁、新万福河复航二期工程加快推进，“公铁水空”立体交通网络实现突破。新型基础设施布局优化，新能源汽车充电站点实现镇街全覆盖，共享单车投放点位实现高需求区域全覆盖。新改建城市道路237公里、农村公路580公里，铺设城乡供水主管网139.6公里</w:t>
      </w:r>
      <w:r>
        <w:rPr>
          <w:rFonts w:hint="default" w:ascii="Times New Roman" w:hAnsi="Times New Roman" w:eastAsia="仿宋_GB2312" w:cs="Times New Roman"/>
          <w:color w:val="auto"/>
          <w:spacing w:val="0"/>
          <w:kern w:val="0"/>
          <w:sz w:val="32"/>
          <w:szCs w:val="32"/>
          <w:highlight w:val="none"/>
          <w:u w:val="none" w:color="auto"/>
          <w:shd w:val="clear"/>
          <w:lang w:val="en-US" w:eastAsia="zh-CN"/>
        </w:rPr>
        <w:t>、雨污管网</w:t>
      </w:r>
      <w:r>
        <w:rPr>
          <w:rFonts w:hint="eastAsia" w:ascii="Times New Roman" w:hAnsi="Times New Roman" w:cs="Times New Roman"/>
          <w:color w:val="auto"/>
          <w:spacing w:val="0"/>
          <w:kern w:val="0"/>
          <w:sz w:val="32"/>
          <w:szCs w:val="32"/>
          <w:highlight w:val="none"/>
          <w:u w:val="none" w:color="auto"/>
          <w:shd w:val="clear"/>
          <w:lang w:val="en-US" w:eastAsia="zh-CN"/>
        </w:rPr>
        <w:t>111.2</w:t>
      </w:r>
      <w:r>
        <w:rPr>
          <w:rFonts w:hint="default" w:ascii="Times New Roman" w:hAnsi="Times New Roman" w:eastAsia="仿宋_GB2312" w:cs="Times New Roman"/>
          <w:color w:val="auto"/>
          <w:spacing w:val="0"/>
          <w:kern w:val="0"/>
          <w:sz w:val="32"/>
          <w:szCs w:val="32"/>
          <w:highlight w:val="none"/>
          <w:u w:val="none" w:color="auto"/>
          <w:shd w:val="clear"/>
          <w:lang w:val="en-US" w:eastAsia="zh-CN"/>
        </w:rPr>
        <w:t>公里，</w:t>
      </w:r>
      <w:r>
        <w:rPr>
          <w:rFonts w:hint="default" w:ascii="Times New Roman" w:hAnsi="Times New Roman" w:eastAsia="仿宋_GB2312" w:cs="Times New Roman"/>
          <w:color w:val="auto"/>
          <w:spacing w:val="0"/>
          <w:kern w:val="0"/>
          <w:sz w:val="32"/>
          <w:szCs w:val="32"/>
          <w:highlight w:val="none"/>
          <w:u w:val="none" w:color="auto"/>
          <w:lang w:val="en-US" w:eastAsia="zh-CN"/>
        </w:rPr>
        <w:t>一批城市公园、儿童乐园等微更新、微改造项目相继建成投用，“牡丹元素”有机融入城建细节，成功入选全省“小微公共空间整治提升工作试点城市”。</w:t>
      </w:r>
    </w:p>
    <w:p w14:paraId="67DDF4D7">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lang w:val="en-US" w:eastAsia="zh-CN"/>
        </w:rPr>
      </w:pPr>
      <w:r>
        <w:rPr>
          <w:rFonts w:hint="default" w:ascii="Times New Roman" w:hAnsi="Times New Roman" w:eastAsia="仿宋_GB2312" w:cs="Times New Roman"/>
          <w:b/>
          <w:bCs/>
          <w:color w:val="auto"/>
          <w:spacing w:val="0"/>
          <w:kern w:val="0"/>
          <w:sz w:val="32"/>
          <w:szCs w:val="32"/>
          <w:highlight w:val="none"/>
          <w:u w:val="none" w:color="auto"/>
          <w:lang w:val="en-US" w:eastAsia="zh-CN"/>
        </w:rPr>
        <w:t>宜居定陶展现新魅力。</w:t>
      </w:r>
      <w:r>
        <w:rPr>
          <w:rFonts w:hint="default" w:ascii="Times New Roman" w:hAnsi="Times New Roman" w:eastAsia="仿宋_GB2312" w:cs="Times New Roman"/>
          <w:color w:val="auto"/>
          <w:spacing w:val="0"/>
          <w:kern w:val="0"/>
          <w:sz w:val="32"/>
          <w:szCs w:val="32"/>
          <w:highlight w:val="none"/>
          <w:u w:val="none" w:color="auto"/>
          <w:lang w:val="en-US" w:eastAsia="zh-CN"/>
        </w:rPr>
        <w:t>生态环境向好向优，PM</w:t>
      </w:r>
      <w:r>
        <w:rPr>
          <w:rFonts w:hint="default" w:ascii="Times New Roman" w:hAnsi="Times New Roman" w:eastAsia="仿宋_GB2312" w:cs="Times New Roman"/>
          <w:color w:val="auto"/>
          <w:spacing w:val="0"/>
          <w:kern w:val="0"/>
          <w:sz w:val="32"/>
          <w:szCs w:val="32"/>
          <w:highlight w:val="none"/>
          <w:u w:val="none" w:color="auto"/>
          <w:vertAlign w:val="subscript"/>
          <w:lang w:val="en-US" w:eastAsia="zh-CN"/>
        </w:rPr>
        <w:t>2.5</w:t>
      </w:r>
      <w:r>
        <w:rPr>
          <w:rFonts w:hint="default" w:ascii="Times New Roman" w:hAnsi="Times New Roman" w:eastAsia="仿宋_GB2312" w:cs="Times New Roman"/>
          <w:color w:val="auto"/>
          <w:spacing w:val="0"/>
          <w:kern w:val="0"/>
          <w:sz w:val="32"/>
          <w:szCs w:val="32"/>
          <w:highlight w:val="none"/>
          <w:u w:val="none" w:color="auto"/>
          <w:lang w:val="en-US" w:eastAsia="zh-CN"/>
        </w:rPr>
        <w:t>、PM</w:t>
      </w:r>
      <w:r>
        <w:rPr>
          <w:rFonts w:hint="default" w:ascii="Times New Roman" w:hAnsi="Times New Roman" w:eastAsia="仿宋_GB2312" w:cs="Times New Roman"/>
          <w:color w:val="auto"/>
          <w:spacing w:val="0"/>
          <w:kern w:val="0"/>
          <w:sz w:val="32"/>
          <w:szCs w:val="32"/>
          <w:highlight w:val="none"/>
          <w:u w:val="none" w:color="auto"/>
          <w:vertAlign w:val="subscript"/>
          <w:lang w:val="en-US" w:eastAsia="zh-CN"/>
        </w:rPr>
        <w:t>10</w:t>
      </w:r>
      <w:r>
        <w:rPr>
          <w:rFonts w:hint="default" w:ascii="Times New Roman" w:hAnsi="Times New Roman" w:eastAsia="仿宋_GB2312" w:cs="Times New Roman"/>
          <w:color w:val="auto"/>
          <w:spacing w:val="0"/>
          <w:kern w:val="0"/>
          <w:sz w:val="32"/>
          <w:szCs w:val="32"/>
          <w:highlight w:val="none"/>
          <w:u w:val="none" w:color="auto"/>
          <w:lang w:val="en-US" w:eastAsia="zh-CN"/>
        </w:rPr>
        <w:t>平均浓度实现连续下降，空气质量优良率提高至72%；省控断面水</w:t>
      </w:r>
      <w:r>
        <w:rPr>
          <w:rFonts w:hint="default" w:ascii="Times New Roman" w:hAnsi="Times New Roman" w:eastAsia="仿宋_GB2312" w:cs="Times New Roman"/>
          <w:color w:val="auto"/>
          <w:spacing w:val="-6"/>
          <w:kern w:val="0"/>
          <w:sz w:val="32"/>
          <w:szCs w:val="32"/>
          <w:highlight w:val="none"/>
          <w:u w:val="none" w:color="auto"/>
          <w:lang w:val="en-US" w:eastAsia="zh-CN"/>
        </w:rPr>
        <w:t>质达到Ⅲ类以上标准；农村供水水质提升三年专项行动圆满完成，农村规模化供水覆盖率、水质达标率、不间断供水保证率全部达标；重点建设用地安全利用率、危险废物处置率均保持100%，全域生态安全屏障更加稳固。产业绿色转型成效明显，定陶经济开发区获批全省首批绿色工业园区，润鑫化工产业园获批全省首批“生态园区”和“无废园区”，连续三年保持较低安全风险等级“D级”。</w:t>
      </w:r>
    </w:p>
    <w:p w14:paraId="5389D03A">
      <w:pPr>
        <w:spacing w:line="240" w:lineRule="auto"/>
        <w:ind w:firstLine="632" w:firstLineChars="200"/>
        <w:rPr>
          <w:rFonts w:hint="default" w:ascii="Times New Roman" w:hAnsi="Times New Roman" w:eastAsia="仿宋_GB2312" w:cs="Times New Roman"/>
          <w:color w:val="auto"/>
          <w:spacing w:val="0"/>
          <w:kern w:val="0"/>
          <w:sz w:val="32"/>
          <w:szCs w:val="32"/>
          <w:highlight w:val="none"/>
          <w:u w:val="none" w:color="auto"/>
          <w:lang w:val="en-US" w:eastAsia="zh-CN"/>
        </w:rPr>
      </w:pPr>
      <w:r>
        <w:rPr>
          <w:rFonts w:hint="default" w:ascii="Times New Roman" w:hAnsi="Times New Roman" w:eastAsia="仿宋_GB2312" w:cs="Times New Roman"/>
          <w:b/>
          <w:bCs/>
          <w:color w:val="auto"/>
          <w:spacing w:val="0"/>
          <w:kern w:val="0"/>
          <w:sz w:val="32"/>
          <w:szCs w:val="32"/>
          <w:highlight w:val="none"/>
          <w:u w:val="none" w:color="auto"/>
          <w:lang w:val="en-US" w:eastAsia="zh-CN"/>
        </w:rPr>
        <w:t>幸福生活焕发新活力。</w:t>
      </w:r>
      <w:r>
        <w:rPr>
          <w:rFonts w:hint="default" w:ascii="Times New Roman" w:hAnsi="Times New Roman" w:eastAsia="仿宋_GB2312" w:cs="Times New Roman"/>
          <w:color w:val="auto"/>
          <w:spacing w:val="0"/>
          <w:kern w:val="0"/>
          <w:sz w:val="32"/>
          <w:szCs w:val="32"/>
          <w:highlight w:val="none"/>
          <w:u w:val="none" w:color="auto"/>
          <w:lang w:val="en-US" w:eastAsia="zh-CN"/>
        </w:rPr>
        <w:t>民生投入持续加大，城乡低保标准分别增长24.7%、35.2%，累计发放救助保障资金4.62亿元，民生支出占比稳定在80%以上。就业优先战略深入实施，开发公益性岗位14245个，城镇新增就业2.</w:t>
      </w:r>
      <w:r>
        <w:rPr>
          <w:rFonts w:hint="default" w:ascii="Times New Roman" w:hAnsi="Times New Roman" w:cs="Times New Roman"/>
          <w:color w:val="auto"/>
          <w:spacing w:val="0"/>
          <w:kern w:val="0"/>
          <w:sz w:val="32"/>
          <w:szCs w:val="32"/>
          <w:highlight w:val="none"/>
          <w:u w:val="none" w:color="auto"/>
          <w:lang w:val="en-US" w:eastAsia="zh-CN"/>
        </w:rPr>
        <w:t>23</w:t>
      </w:r>
      <w:r>
        <w:rPr>
          <w:rFonts w:hint="default" w:ascii="Times New Roman" w:hAnsi="Times New Roman" w:eastAsia="仿宋_GB2312" w:cs="Times New Roman"/>
          <w:color w:val="auto"/>
          <w:spacing w:val="0"/>
          <w:kern w:val="0"/>
          <w:sz w:val="32"/>
          <w:szCs w:val="32"/>
          <w:highlight w:val="none"/>
          <w:u w:val="none" w:color="auto"/>
          <w:lang w:val="en-US" w:eastAsia="zh-CN"/>
        </w:rPr>
        <w:t>万人，创业和职业技能培训</w:t>
      </w:r>
      <w:r>
        <w:rPr>
          <w:rFonts w:hint="eastAsia" w:ascii="Times New Roman" w:hAnsi="Times New Roman" w:cs="Times New Roman"/>
          <w:color w:val="auto"/>
          <w:spacing w:val="0"/>
          <w:kern w:val="0"/>
          <w:sz w:val="32"/>
          <w:szCs w:val="32"/>
          <w:highlight w:val="none"/>
          <w:u w:val="none" w:color="auto"/>
          <w:lang w:val="en-US" w:eastAsia="zh-CN"/>
        </w:rPr>
        <w:t>覆盖</w:t>
      </w:r>
      <w:r>
        <w:rPr>
          <w:rFonts w:hint="default" w:ascii="Times New Roman" w:hAnsi="Times New Roman" w:eastAsia="仿宋_GB2312" w:cs="Times New Roman"/>
          <w:color w:val="auto"/>
          <w:spacing w:val="0"/>
          <w:kern w:val="0"/>
          <w:sz w:val="32"/>
          <w:szCs w:val="32"/>
          <w:highlight w:val="none"/>
          <w:u w:val="none" w:color="auto"/>
          <w:lang w:val="en-US" w:eastAsia="zh-CN"/>
        </w:rPr>
        <w:t>2.</w:t>
      </w:r>
      <w:r>
        <w:rPr>
          <w:rFonts w:hint="default" w:ascii="Times New Roman" w:hAnsi="Times New Roman" w:cs="Times New Roman"/>
          <w:color w:val="auto"/>
          <w:spacing w:val="0"/>
          <w:kern w:val="0"/>
          <w:sz w:val="32"/>
          <w:szCs w:val="32"/>
          <w:highlight w:val="none"/>
          <w:u w:val="none" w:color="auto"/>
          <w:lang w:val="en-US" w:eastAsia="zh-CN"/>
        </w:rPr>
        <w:t>68</w:t>
      </w:r>
      <w:r>
        <w:rPr>
          <w:rFonts w:hint="default" w:ascii="Times New Roman" w:hAnsi="Times New Roman" w:eastAsia="仿宋_GB2312" w:cs="Times New Roman"/>
          <w:color w:val="auto"/>
          <w:spacing w:val="0"/>
          <w:kern w:val="0"/>
          <w:sz w:val="32"/>
          <w:szCs w:val="32"/>
          <w:highlight w:val="none"/>
          <w:u w:val="none" w:color="auto"/>
          <w:lang w:val="en-US" w:eastAsia="zh-CN"/>
        </w:rPr>
        <w:t>万人次。教育事业优质均衡发展，新建、改扩建学校11所，新增学位7790个，获批全省乡镇初中质量提升试点县区</w:t>
      </w:r>
      <w:r>
        <w:rPr>
          <w:rFonts w:hint="eastAsia" w:ascii="Times New Roman" w:hAnsi="Times New Roman" w:cs="Times New Roman"/>
          <w:color w:val="auto"/>
          <w:spacing w:val="0"/>
          <w:kern w:val="0"/>
          <w:sz w:val="32"/>
          <w:szCs w:val="32"/>
          <w:highlight w:val="none"/>
          <w:u w:val="none" w:color="auto"/>
          <w:lang w:val="en-US" w:eastAsia="zh-CN"/>
        </w:rPr>
        <w:t>，</w:t>
      </w:r>
      <w:r>
        <w:rPr>
          <w:rFonts w:hint="default" w:ascii="Times New Roman" w:hAnsi="Times New Roman" w:eastAsia="仿宋_GB2312" w:cs="Times New Roman"/>
          <w:color w:val="auto"/>
          <w:spacing w:val="0"/>
          <w:kern w:val="0"/>
          <w:sz w:val="32"/>
          <w:szCs w:val="32"/>
          <w:highlight w:val="none"/>
          <w:u w:val="none" w:color="auto"/>
          <w:lang w:val="en-US" w:eastAsia="zh-CN"/>
        </w:rPr>
        <w:t>入选教育部第三批智能研修平台应用试点工作区。医共体建设稳步推进，区人民医院新院区主体完工</w:t>
      </w:r>
      <w:r>
        <w:rPr>
          <w:rFonts w:hint="eastAsia" w:ascii="Times New Roman" w:hAnsi="Times New Roman" w:cs="Times New Roman"/>
          <w:color w:val="auto"/>
          <w:spacing w:val="0"/>
          <w:kern w:val="0"/>
          <w:sz w:val="32"/>
          <w:szCs w:val="32"/>
          <w:highlight w:val="none"/>
          <w:u w:val="none" w:color="auto"/>
          <w:lang w:val="en-US" w:eastAsia="zh-CN"/>
        </w:rPr>
        <w:t>，</w:t>
      </w:r>
      <w:r>
        <w:rPr>
          <w:rFonts w:hint="default" w:ascii="Times New Roman" w:hAnsi="Times New Roman" w:eastAsia="仿宋_GB2312" w:cs="Times New Roman"/>
          <w:color w:val="auto"/>
          <w:spacing w:val="0"/>
          <w:kern w:val="0"/>
          <w:sz w:val="32"/>
          <w:szCs w:val="32"/>
          <w:highlight w:val="none"/>
          <w:u w:val="none" w:color="auto"/>
          <w:lang w:val="en-US" w:eastAsia="zh-CN"/>
        </w:rPr>
        <w:t>区妇幼保健院新院区启用，提升改造卫生院14处、卫生室167个，创</w:t>
      </w:r>
      <w:r>
        <w:rPr>
          <w:rFonts w:hint="eastAsia" w:ascii="Times New Roman" w:hAnsi="Times New Roman" w:cs="Times New Roman"/>
          <w:color w:val="auto"/>
          <w:spacing w:val="0"/>
          <w:kern w:val="0"/>
          <w:sz w:val="32"/>
          <w:szCs w:val="32"/>
          <w:highlight w:val="none"/>
          <w:u w:val="none" w:color="auto"/>
          <w:lang w:val="en-US" w:eastAsia="zh-CN"/>
        </w:rPr>
        <w:t>建</w:t>
      </w:r>
      <w:r>
        <w:rPr>
          <w:rFonts w:hint="default" w:ascii="Times New Roman" w:hAnsi="Times New Roman" w:eastAsia="仿宋_GB2312" w:cs="Times New Roman"/>
          <w:color w:val="auto"/>
          <w:spacing w:val="0"/>
          <w:kern w:val="0"/>
          <w:sz w:val="32"/>
          <w:szCs w:val="32"/>
          <w:highlight w:val="none"/>
          <w:u w:val="none" w:color="auto"/>
          <w:lang w:val="en-US" w:eastAsia="zh-CN"/>
        </w:rPr>
        <w:t>省级卫生村社280个。文体事业成果丰硕，两夹弦剧目获国家级奖项36项，区图书馆被文化部评为“国家一级图书馆”，“鲁西南记忆”成功创建为国家AAA级旅游景区；理论文献电视片《定陶战役》在央视纪录频道黄金时间段播出；残疾人运动员斩获世界级金牌81枚、国家级金牌120枚，实现菏泽市残奥会金牌“零的突破”；成功承办</w:t>
      </w:r>
      <w:r>
        <w:rPr>
          <w:rFonts w:hint="eastAsia" w:ascii="Times New Roman" w:hAnsi="Times New Roman" w:cs="Times New Roman"/>
          <w:color w:val="auto"/>
          <w:spacing w:val="0"/>
          <w:kern w:val="0"/>
          <w:sz w:val="32"/>
          <w:szCs w:val="32"/>
          <w:highlight w:val="none"/>
          <w:u w:val="none" w:color="auto"/>
          <w:lang w:val="en-US" w:eastAsia="zh-CN"/>
        </w:rPr>
        <w:t>2025年</w:t>
      </w:r>
      <w:r>
        <w:rPr>
          <w:rFonts w:hint="default" w:ascii="Times New Roman" w:hAnsi="Times New Roman" w:eastAsia="仿宋_GB2312" w:cs="Times New Roman"/>
          <w:color w:val="auto"/>
          <w:spacing w:val="0"/>
          <w:kern w:val="0"/>
          <w:sz w:val="32"/>
          <w:szCs w:val="32"/>
          <w:highlight w:val="none"/>
          <w:u w:val="none" w:color="auto"/>
          <w:lang w:val="en-US" w:eastAsia="zh-CN"/>
        </w:rPr>
        <w:t>全国残疾人举重锦标赛。</w:t>
      </w:r>
    </w:p>
    <w:p w14:paraId="23688255">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6" w:name="_Toc17991"/>
      <w:bookmarkStart w:id="7" w:name="_Toc24450"/>
      <w:bookmarkStart w:id="8" w:name="_Toc680559609"/>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“十五五”时期外部环境的总体特征</w:t>
      </w:r>
      <w:bookmarkEnd w:id="6"/>
      <w:bookmarkEnd w:id="7"/>
      <w:bookmarkEnd w:id="8"/>
    </w:p>
    <w:p w14:paraId="0CA5FC00">
      <w:pP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从国际看</w:t>
      </w:r>
      <w:r>
        <w:rPr>
          <w:rFonts w:hint="default" w:ascii="Times New Roman" w:hAnsi="Times New Roman" w:eastAsia="仿宋_GB2312" w:cs="Times New Roman"/>
          <w:color w:val="auto"/>
          <w:spacing w:val="0"/>
          <w:sz w:val="32"/>
          <w:szCs w:val="32"/>
          <w:highlight w:val="none"/>
          <w:u w:val="none" w:color="auto"/>
          <w:lang w:val="en-US" w:eastAsia="zh-CN"/>
        </w:rPr>
        <w:t>，世界百年变局加速演进，国际力量对比深刻调整，新一轮科技革命和产业变革加速突破，单边主义、保护主义抬头，霸权主义和强权政治威胁上升</w:t>
      </w:r>
      <w:r>
        <w:rPr>
          <w:rFonts w:hint="default"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国际经济贸易秩序遇到严峻挑战，世界经济增长动能不足</w:t>
      </w:r>
      <w:r>
        <w:rPr>
          <w:rFonts w:hint="default" w:ascii="Times New Roman" w:hAnsi="Times New Roman" w:cs="Times New Roman"/>
          <w:color w:val="auto"/>
          <w:spacing w:val="0"/>
          <w:sz w:val="32"/>
          <w:szCs w:val="32"/>
          <w:highlight w:val="none"/>
          <w:u w:val="none" w:color="auto"/>
          <w:lang w:val="en-US" w:eastAsia="zh-CN"/>
        </w:rPr>
        <w:t>，发展环境面临深刻复杂变化。</w:t>
      </w:r>
      <w:r>
        <w:rPr>
          <w:rFonts w:hint="default" w:ascii="Times New Roman" w:hAnsi="Times New Roman" w:eastAsia="仿宋_GB2312" w:cs="Times New Roman"/>
          <w:b/>
          <w:bCs/>
          <w:color w:val="auto"/>
          <w:spacing w:val="0"/>
          <w:sz w:val="32"/>
          <w:szCs w:val="32"/>
          <w:highlight w:val="none"/>
          <w:u w:val="none" w:color="auto"/>
          <w:lang w:val="en-US" w:eastAsia="zh-CN"/>
        </w:rPr>
        <w:t>从国内看</w:t>
      </w:r>
      <w:r>
        <w:rPr>
          <w:rFonts w:hint="default" w:ascii="Times New Roman" w:hAnsi="Times New Roman" w:eastAsia="仿宋_GB2312" w:cs="Times New Roman"/>
          <w:color w:val="auto"/>
          <w:spacing w:val="0"/>
          <w:sz w:val="32"/>
          <w:szCs w:val="32"/>
          <w:highlight w:val="none"/>
          <w:u w:val="none" w:color="auto"/>
          <w:lang w:val="en-US" w:eastAsia="zh-CN"/>
        </w:rPr>
        <w:t>，我国经济基础稳、优势多、韧性强、潜能大，长期向好的支撑条件和基本趋势没有变，中国特色社会主义制度优势、超大规模市场优势、完整产业体系优势、丰富人才资源优势更加彰显。</w:t>
      </w:r>
      <w:r>
        <w:rPr>
          <w:rFonts w:hint="default" w:ascii="Times New Roman" w:hAnsi="Times New Roman" w:cs="Times New Roman"/>
          <w:color w:val="auto"/>
          <w:spacing w:val="0"/>
          <w:sz w:val="32"/>
          <w:szCs w:val="32"/>
          <w:highlight w:val="none"/>
          <w:u w:val="none" w:color="auto"/>
          <w:lang w:val="en-US" w:eastAsia="zh-CN"/>
        </w:rPr>
        <w:t>随着发展进程不断推进，新问题、新情况和新挑战不断出现。</w:t>
      </w:r>
      <w:r>
        <w:rPr>
          <w:rFonts w:hint="default" w:ascii="Times New Roman" w:hAnsi="Times New Roman" w:eastAsia="仿宋_GB2312" w:cs="Times New Roman"/>
          <w:b/>
          <w:bCs/>
          <w:color w:val="auto"/>
          <w:spacing w:val="0"/>
          <w:sz w:val="32"/>
          <w:szCs w:val="32"/>
          <w:highlight w:val="none"/>
          <w:u w:val="none" w:color="auto"/>
          <w:lang w:val="en-US" w:eastAsia="zh-CN"/>
        </w:rPr>
        <w:t>从全省看</w:t>
      </w:r>
      <w:r>
        <w:rPr>
          <w:rFonts w:hint="default" w:ascii="Times New Roman" w:hAnsi="Times New Roman" w:eastAsia="仿宋_GB2312" w:cs="Times New Roman"/>
          <w:color w:val="auto"/>
          <w:spacing w:val="0"/>
          <w:sz w:val="32"/>
          <w:szCs w:val="32"/>
          <w:highlight w:val="none"/>
          <w:u w:val="none" w:color="auto"/>
          <w:lang w:val="en-US" w:eastAsia="zh-CN"/>
        </w:rPr>
        <w:t>，山东</w:t>
      </w:r>
      <w:r>
        <w:rPr>
          <w:rFonts w:hint="default" w:ascii="Times New Roman" w:hAnsi="Times New Roman" w:cs="Times New Roman"/>
          <w:color w:val="auto"/>
          <w:spacing w:val="0"/>
          <w:sz w:val="32"/>
          <w:szCs w:val="32"/>
          <w:highlight w:val="none"/>
          <w:u w:val="none" w:color="auto"/>
          <w:lang w:val="en-US" w:eastAsia="zh-CN"/>
        </w:rPr>
        <w:t>加快推进现代化强省建设集聚了多重积极因素，具备多方面优势和条件，发展位势更加凸显，发展动能更加强劲，发展活力更加充沛，发展支撑更加有力。但由“体量优势”转向“质量优势”仍需攻克部分结构性、体制性矛盾</w:t>
      </w:r>
      <w:r>
        <w:rPr>
          <w:rFonts w:hint="default" w:ascii="Times New Roman" w:hAnsi="Times New Roman" w:eastAsia="仿宋_GB2312" w:cs="Times New Roman"/>
          <w:color w:val="auto"/>
          <w:spacing w:val="0"/>
          <w:sz w:val="32"/>
          <w:szCs w:val="32"/>
          <w:highlight w:val="none"/>
          <w:u w:val="none" w:color="auto"/>
          <w:lang w:val="en-US" w:eastAsia="zh-CN"/>
        </w:rPr>
        <w:t>。</w:t>
      </w:r>
      <w:r>
        <w:rPr>
          <w:rFonts w:hint="default" w:ascii="Times New Roman" w:hAnsi="Times New Roman" w:eastAsia="仿宋_GB2312" w:cs="Times New Roman"/>
          <w:b/>
          <w:bCs/>
          <w:color w:val="auto"/>
          <w:spacing w:val="0"/>
          <w:sz w:val="32"/>
          <w:szCs w:val="32"/>
          <w:highlight w:val="none"/>
          <w:u w:val="none" w:color="auto"/>
          <w:lang w:val="en-US" w:eastAsia="zh-CN"/>
        </w:rPr>
        <w:t>从全市看</w:t>
      </w:r>
      <w:r>
        <w:rPr>
          <w:rFonts w:hint="default" w:ascii="Times New Roman" w:hAnsi="Times New Roman" w:eastAsia="仿宋_GB2312" w:cs="Times New Roman"/>
          <w:color w:val="auto"/>
          <w:spacing w:val="0"/>
          <w:sz w:val="32"/>
          <w:szCs w:val="32"/>
          <w:highlight w:val="none"/>
          <w:u w:val="none" w:color="auto"/>
          <w:lang w:val="en-US" w:eastAsia="zh-CN"/>
        </w:rPr>
        <w:t>，菏泽处在乘势而上的战略风口，政策叠加赋能，产业集聚成势，区位优势</w:t>
      </w:r>
      <w:r>
        <w:rPr>
          <w:rFonts w:hint="eastAsia" w:ascii="Times New Roman" w:hAnsi="Times New Roman" w:cs="Times New Roman"/>
          <w:color w:val="auto"/>
          <w:spacing w:val="0"/>
          <w:sz w:val="32"/>
          <w:szCs w:val="32"/>
          <w:highlight w:val="none"/>
          <w:u w:val="none" w:color="auto"/>
          <w:lang w:val="en-US" w:eastAsia="zh-CN"/>
        </w:rPr>
        <w:t>显著</w:t>
      </w:r>
      <w:r>
        <w:rPr>
          <w:rFonts w:hint="default" w:ascii="Times New Roman" w:hAnsi="Times New Roman" w:eastAsia="仿宋_GB2312" w:cs="Times New Roman"/>
          <w:color w:val="auto"/>
          <w:spacing w:val="0"/>
          <w:sz w:val="32"/>
          <w:szCs w:val="32"/>
          <w:highlight w:val="none"/>
          <w:u w:val="none" w:color="auto"/>
          <w:lang w:val="en-US" w:eastAsia="zh-CN"/>
        </w:rPr>
        <w:t>，内需潜力释放。但与此同时，在产业优化提升、发展动力增强、城乡融合发展等方面，仍然面临攻坚克难的现实考验。</w:t>
      </w:r>
    </w:p>
    <w:p w14:paraId="6D563BC2">
      <w:pPr>
        <w:pStyle w:val="14"/>
        <w:keepNext w:val="0"/>
        <w:keepLines w:val="0"/>
        <w:pageBreakBefore w:val="0"/>
        <w:widowControl/>
        <w:suppressLineNumbers w:val="0"/>
        <w:shd w:val="clear"/>
        <w:kinsoku/>
        <w:wordWrap/>
        <w:overflowPunct w:val="0"/>
        <w:topLinePunct w:val="0"/>
        <w:autoSpaceDE/>
        <w:autoSpaceDN/>
        <w:bidi w:val="0"/>
        <w:adjustRightInd/>
        <w:snapToGrid/>
        <w:spacing w:before="0" w:beforeAutospacing="0" w:after="0" w:afterAutospacing="0" w:line="240" w:lineRule="auto"/>
        <w:ind w:right="0" w:firstLine="0" w:firstLineChars="0"/>
        <w:jc w:val="center"/>
        <w:textAlignment w:val="auto"/>
        <w:outlineLvl w:val="1"/>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9" w:name="_Toc32126"/>
      <w:bookmarkStart w:id="10" w:name="_Toc28618"/>
      <w:bookmarkStart w:id="11" w:name="_Toc608272218"/>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“十五五”时期定陶发展面临的机遇与挑战</w:t>
      </w:r>
      <w:bookmarkEnd w:id="9"/>
      <w:bookmarkEnd w:id="10"/>
      <w:bookmarkEnd w:id="11"/>
    </w:p>
    <w:p w14:paraId="2D8E9752">
      <w:pPr>
        <w:keepNext w:val="0"/>
        <w:keepLines w:val="0"/>
        <w:widowControl/>
        <w:suppressLineNumbers w:val="0"/>
        <w:ind w:firstLine="632" w:firstLineChars="200"/>
        <w:jc w:val="left"/>
        <w:rPr>
          <w:rFonts w:hint="default" w:ascii="Times New Roman" w:hAnsi="Times New Roman" w:cs="Times New Roman"/>
          <w:b w:val="0"/>
          <w:bCs w:val="0"/>
          <w:color w:val="auto"/>
          <w:spacing w:val="0"/>
          <w:sz w:val="32"/>
          <w:szCs w:val="32"/>
          <w:highlight w:val="none"/>
          <w:u w:val="none" w:color="auto"/>
          <w:lang w:val="en-US" w:eastAsia="zh-CN"/>
        </w:rPr>
      </w:pPr>
      <w:r>
        <w:rPr>
          <w:rFonts w:hint="default" w:ascii="Times New Roman" w:hAnsi="Times New Roman" w:cs="Times New Roman"/>
          <w:b w:val="0"/>
          <w:bCs w:val="0"/>
          <w:color w:val="auto"/>
          <w:spacing w:val="0"/>
          <w:sz w:val="32"/>
          <w:szCs w:val="32"/>
          <w:highlight w:val="none"/>
          <w:u w:val="none" w:color="auto"/>
          <w:lang w:val="en-US" w:eastAsia="zh-CN"/>
        </w:rPr>
        <w:t>经过“十四五”时期的不懈奋斗，定陶积累了坚实的发展基础</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cs="Times New Roman"/>
          <w:b w:val="0"/>
          <w:bCs w:val="0"/>
          <w:color w:val="auto"/>
          <w:spacing w:val="0"/>
          <w:sz w:val="32"/>
          <w:szCs w:val="32"/>
          <w:highlight w:val="none"/>
          <w:u w:val="none" w:color="auto"/>
          <w:lang w:val="en-US" w:eastAsia="zh-CN"/>
        </w:rPr>
        <w:t>塑造了独特的竞争优势，</w:t>
      </w:r>
      <w:r>
        <w:rPr>
          <w:rFonts w:hint="default" w:ascii="Times New Roman" w:hAnsi="Times New Roman" w:eastAsia="仿宋_GB2312" w:cs="Times New Roman"/>
          <w:b w:val="0"/>
          <w:bCs w:val="0"/>
          <w:color w:val="auto"/>
          <w:kern w:val="2"/>
          <w:sz w:val="32"/>
          <w:szCs w:val="32"/>
          <w:highlight w:val="none"/>
          <w:u w:val="none" w:color="auto"/>
          <w:lang w:val="en-US" w:eastAsia="zh-CN" w:bidi="ar-SA"/>
        </w:rPr>
        <w:t>内外环境深刻变化</w:t>
      </w:r>
      <w:r>
        <w:rPr>
          <w:rFonts w:hint="default" w:ascii="Times New Roman" w:hAnsi="Times New Roman" w:cs="Times New Roman"/>
          <w:b w:val="0"/>
          <w:bCs w:val="0"/>
          <w:color w:val="auto"/>
          <w:kern w:val="2"/>
          <w:sz w:val="32"/>
          <w:szCs w:val="32"/>
          <w:highlight w:val="none"/>
          <w:u w:val="none" w:color="auto"/>
          <w:lang w:val="en-US" w:eastAsia="zh-CN" w:bidi="ar-SA"/>
        </w:rPr>
        <w:t>的</w:t>
      </w:r>
      <w:r>
        <w:rPr>
          <w:rFonts w:hint="default" w:ascii="Times New Roman" w:hAnsi="Times New Roman" w:eastAsia="仿宋_GB2312" w:cs="Times New Roman"/>
          <w:b w:val="0"/>
          <w:bCs w:val="0"/>
          <w:color w:val="auto"/>
          <w:kern w:val="2"/>
          <w:sz w:val="32"/>
          <w:szCs w:val="32"/>
          <w:highlight w:val="none"/>
          <w:u w:val="none" w:color="auto"/>
          <w:lang w:val="en-US" w:eastAsia="zh-CN" w:bidi="ar-SA"/>
        </w:rPr>
        <w:t>战略性、可塑性历史机遇前所未有</w:t>
      </w:r>
      <w:r>
        <w:rPr>
          <w:rFonts w:hint="default" w:ascii="Times New Roman" w:hAnsi="Times New Roman" w:cs="Times New Roman"/>
          <w:b w:val="0"/>
          <w:bCs w:val="0"/>
          <w:color w:val="auto"/>
          <w:kern w:val="2"/>
          <w:sz w:val="32"/>
          <w:szCs w:val="32"/>
          <w:highlight w:val="none"/>
          <w:u w:val="none" w:color="auto"/>
          <w:lang w:val="en-US" w:eastAsia="zh-CN" w:bidi="ar-SA"/>
        </w:rPr>
        <w:t>，</w:t>
      </w:r>
      <w:r>
        <w:rPr>
          <w:rFonts w:hint="default" w:ascii="Times New Roman" w:hAnsi="Times New Roman" w:eastAsia="仿宋_GB2312" w:cs="Times New Roman"/>
          <w:b w:val="0"/>
          <w:bCs w:val="0"/>
          <w:color w:val="auto"/>
          <w:kern w:val="2"/>
          <w:sz w:val="32"/>
          <w:szCs w:val="32"/>
          <w:highlight w:val="none"/>
          <w:u w:val="none" w:color="auto"/>
          <w:lang w:val="en-US" w:eastAsia="zh-CN" w:bidi="ar-SA"/>
        </w:rPr>
        <w:t>复杂性、全局性困难挑战前所未有</w:t>
      </w:r>
      <w:r>
        <w:rPr>
          <w:rFonts w:hint="eastAsia" w:ascii="Times New Roman" w:hAnsi="Times New Roman" w:cs="Times New Roman"/>
          <w:b w:val="0"/>
          <w:bCs w:val="0"/>
          <w:color w:val="auto"/>
          <w:kern w:val="2"/>
          <w:sz w:val="32"/>
          <w:szCs w:val="32"/>
          <w:highlight w:val="none"/>
          <w:u w:val="none" w:color="auto"/>
          <w:lang w:val="en-US" w:eastAsia="zh-CN" w:bidi="ar-SA"/>
        </w:rPr>
        <w:t>。</w:t>
      </w:r>
      <w:r>
        <w:rPr>
          <w:rFonts w:hint="eastAsia" w:ascii="仿宋_GB2312" w:hAnsi="仿宋_GB2312" w:eastAsia="仿宋_GB2312" w:cs="仿宋_GB2312"/>
          <w:color w:val="auto"/>
          <w:kern w:val="0"/>
          <w:sz w:val="32"/>
          <w:szCs w:val="32"/>
          <w:lang w:val="en-US" w:eastAsia="zh-CN" w:bidi="ar"/>
        </w:rPr>
        <w:t>习近平总书记视察山东、视察菏泽重要讲话和重要指示批示精神为“十五五”时期全区发展提供了根本遵循,黄河流域生态保护和高质量发展、绿色低碳高质量发展先行区建设等战略深入推进,突破菏泽鲁西崛起行动接续实施，为全区高质量发展聚集了多重积极因素。</w:t>
      </w:r>
      <w:r>
        <w:rPr>
          <w:rFonts w:hint="default" w:ascii="Times New Roman" w:hAnsi="Times New Roman" w:cs="Times New Roman"/>
          <w:b/>
          <w:bCs/>
          <w:color w:val="auto"/>
          <w:spacing w:val="0"/>
          <w:sz w:val="32"/>
          <w:szCs w:val="32"/>
          <w:highlight w:val="none"/>
          <w:u w:val="none" w:color="auto"/>
          <w:lang w:val="en-US" w:eastAsia="zh-CN"/>
        </w:rPr>
        <w:t>一是战略机遇叠加，政策赋能强劲</w:t>
      </w:r>
      <w:r>
        <w:rPr>
          <w:rFonts w:hint="default" w:ascii="Times New Roman" w:hAnsi="Times New Roman" w:cs="Times New Roman"/>
          <w:b w:val="0"/>
          <w:bCs w:val="0"/>
          <w:color w:val="auto"/>
          <w:spacing w:val="0"/>
          <w:sz w:val="32"/>
          <w:szCs w:val="32"/>
          <w:highlight w:val="none"/>
          <w:u w:val="none" w:color="auto"/>
          <w:lang w:val="en-US" w:eastAsia="zh-CN"/>
        </w:rPr>
        <w:t>。黄河流域生态保护</w:t>
      </w:r>
      <w:r>
        <w:rPr>
          <w:rFonts w:hint="eastAsia" w:ascii="Times New Roman" w:hAnsi="Times New Roman" w:cs="Times New Roman"/>
          <w:b w:val="0"/>
          <w:bCs w:val="0"/>
          <w:color w:val="auto"/>
          <w:spacing w:val="0"/>
          <w:sz w:val="32"/>
          <w:szCs w:val="32"/>
          <w:highlight w:val="none"/>
          <w:u w:val="none" w:color="auto"/>
          <w:lang w:val="en-US" w:eastAsia="zh-CN"/>
        </w:rPr>
        <w:t>和</w:t>
      </w:r>
      <w:r>
        <w:rPr>
          <w:rFonts w:hint="default" w:ascii="Times New Roman" w:hAnsi="Times New Roman" w:cs="Times New Roman"/>
          <w:b w:val="0"/>
          <w:bCs w:val="0"/>
          <w:color w:val="auto"/>
          <w:spacing w:val="0"/>
          <w:sz w:val="32"/>
          <w:szCs w:val="32"/>
          <w:highlight w:val="none"/>
          <w:u w:val="none" w:color="auto"/>
          <w:lang w:val="en-US" w:eastAsia="zh-CN"/>
        </w:rPr>
        <w:t>高质量发展重大国家战略</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cs="Times New Roman"/>
          <w:b w:val="0"/>
          <w:bCs w:val="0"/>
          <w:color w:val="auto"/>
          <w:spacing w:val="0"/>
          <w:sz w:val="32"/>
          <w:szCs w:val="32"/>
          <w:highlight w:val="none"/>
          <w:u w:val="none" w:color="auto"/>
          <w:lang w:val="en-US" w:eastAsia="zh-CN"/>
        </w:rPr>
        <w:t>绿色低碳高质量发展战略交汇叠加，新一轮“突破菏泽、鲁西崛起”行动涉及的8个方面、183项工作持续落地，一系列支持政策释放出更强劲的发展动能。</w:t>
      </w:r>
      <w:r>
        <w:rPr>
          <w:rFonts w:hint="default" w:ascii="Times New Roman" w:hAnsi="Times New Roman" w:cs="Times New Roman"/>
          <w:b/>
          <w:bCs/>
          <w:color w:val="auto"/>
          <w:spacing w:val="0"/>
          <w:sz w:val="32"/>
          <w:szCs w:val="32"/>
          <w:highlight w:val="none"/>
          <w:u w:val="none" w:color="auto"/>
          <w:lang w:val="en-US" w:eastAsia="zh-CN"/>
        </w:rPr>
        <w:t>二是交通</w:t>
      </w:r>
      <w:r>
        <w:rPr>
          <w:rFonts w:hint="eastAsia" w:ascii="Times New Roman" w:hAnsi="Times New Roman" w:cs="Times New Roman"/>
          <w:b/>
          <w:bCs/>
          <w:color w:val="auto"/>
          <w:spacing w:val="0"/>
          <w:sz w:val="32"/>
          <w:szCs w:val="32"/>
          <w:highlight w:val="none"/>
          <w:u w:val="none" w:color="auto"/>
          <w:lang w:val="en-US" w:eastAsia="zh-CN"/>
        </w:rPr>
        <w:t>网格</w:t>
      </w:r>
      <w:r>
        <w:rPr>
          <w:rFonts w:hint="default" w:ascii="Times New Roman" w:hAnsi="Times New Roman" w:cs="Times New Roman"/>
          <w:b/>
          <w:bCs/>
          <w:color w:val="auto"/>
          <w:spacing w:val="0"/>
          <w:sz w:val="32"/>
          <w:szCs w:val="32"/>
          <w:highlight w:val="none"/>
          <w:u w:val="none" w:color="auto"/>
          <w:lang w:val="en-US" w:eastAsia="zh-CN"/>
        </w:rPr>
        <w:t>成形，区位优势凸显</w:t>
      </w:r>
      <w:r>
        <w:rPr>
          <w:rFonts w:hint="default" w:ascii="Times New Roman" w:hAnsi="Times New Roman" w:cs="Times New Roman"/>
          <w:b w:val="0"/>
          <w:bCs w:val="0"/>
          <w:color w:val="auto"/>
          <w:spacing w:val="0"/>
          <w:sz w:val="32"/>
          <w:szCs w:val="32"/>
          <w:highlight w:val="none"/>
          <w:u w:val="none" w:color="auto"/>
          <w:lang w:val="en-US" w:eastAsia="zh-CN"/>
        </w:rPr>
        <w:t>。牡丹机场、菏泽高铁站等重要交通设施均在</w:t>
      </w:r>
      <w:r>
        <w:rPr>
          <w:rFonts w:hint="eastAsia" w:ascii="Times New Roman" w:hAnsi="Times New Roman" w:cs="Times New Roman"/>
          <w:b w:val="0"/>
          <w:bCs w:val="0"/>
          <w:color w:val="auto"/>
          <w:spacing w:val="0"/>
          <w:sz w:val="32"/>
          <w:szCs w:val="32"/>
          <w:highlight w:val="none"/>
          <w:u w:val="none" w:color="auto"/>
          <w:lang w:val="en-US" w:eastAsia="zh-CN"/>
        </w:rPr>
        <w:t>定陶或</w:t>
      </w:r>
      <w:r>
        <w:rPr>
          <w:rFonts w:hint="default" w:ascii="Times New Roman" w:hAnsi="Times New Roman" w:cs="Times New Roman"/>
          <w:b w:val="0"/>
          <w:bCs w:val="0"/>
          <w:color w:val="auto"/>
          <w:spacing w:val="0"/>
          <w:sz w:val="32"/>
          <w:szCs w:val="32"/>
          <w:highlight w:val="none"/>
          <w:u w:val="none" w:color="auto"/>
          <w:lang w:val="en-US" w:eastAsia="zh-CN"/>
        </w:rPr>
        <w:t>定陶周边，即将通车的雄商高铁将实现2小时进京</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cs="Times New Roman"/>
          <w:b w:val="0"/>
          <w:bCs w:val="0"/>
          <w:color w:val="auto"/>
          <w:spacing w:val="0"/>
          <w:sz w:val="32"/>
          <w:szCs w:val="32"/>
          <w:highlight w:val="none"/>
          <w:u w:val="none" w:color="auto"/>
          <w:lang w:val="en-US" w:eastAsia="zh-CN"/>
        </w:rPr>
        <w:t>3小时抵沪；境内及周边高速</w:t>
      </w:r>
      <w:r>
        <w:rPr>
          <w:rFonts w:hint="eastAsia" w:ascii="Times New Roman" w:hAnsi="Times New Roman" w:cs="Times New Roman"/>
          <w:b w:val="0"/>
          <w:bCs w:val="0"/>
          <w:color w:val="auto"/>
          <w:spacing w:val="0"/>
          <w:sz w:val="32"/>
          <w:szCs w:val="32"/>
          <w:highlight w:val="none"/>
          <w:u w:val="none" w:color="auto"/>
          <w:lang w:val="en-US" w:eastAsia="zh-CN"/>
        </w:rPr>
        <w:t>公路</w:t>
      </w:r>
      <w:r>
        <w:rPr>
          <w:rFonts w:hint="default" w:ascii="Times New Roman" w:hAnsi="Times New Roman" w:cs="Times New Roman"/>
          <w:b w:val="0"/>
          <w:bCs w:val="0"/>
          <w:color w:val="auto"/>
          <w:spacing w:val="0"/>
          <w:sz w:val="32"/>
          <w:szCs w:val="32"/>
          <w:highlight w:val="none"/>
          <w:u w:val="none" w:color="auto"/>
          <w:lang w:val="en-US" w:eastAsia="zh-CN"/>
        </w:rPr>
        <w:t>出入口8个，距济南、郑州两大国际机场</w:t>
      </w:r>
      <w:r>
        <w:rPr>
          <w:rFonts w:hint="eastAsia" w:ascii="Times New Roman" w:hAnsi="Times New Roman" w:cs="Times New Roman"/>
          <w:b w:val="0"/>
          <w:bCs w:val="0"/>
          <w:color w:val="auto"/>
          <w:spacing w:val="0"/>
          <w:sz w:val="32"/>
          <w:szCs w:val="32"/>
          <w:highlight w:val="none"/>
          <w:u w:val="none" w:color="auto"/>
          <w:lang w:val="en-US" w:eastAsia="zh-CN"/>
        </w:rPr>
        <w:t>均</w:t>
      </w:r>
      <w:r>
        <w:rPr>
          <w:rFonts w:hint="default" w:ascii="Times New Roman" w:hAnsi="Times New Roman" w:cs="Times New Roman"/>
          <w:b w:val="0"/>
          <w:bCs w:val="0"/>
          <w:color w:val="auto"/>
          <w:spacing w:val="0"/>
          <w:sz w:val="32"/>
          <w:szCs w:val="32"/>
          <w:highlight w:val="none"/>
          <w:u w:val="none" w:color="auto"/>
          <w:lang w:val="en-US" w:eastAsia="zh-CN"/>
        </w:rPr>
        <w:t>约200公里。</w:t>
      </w:r>
      <w:r>
        <w:rPr>
          <w:rFonts w:hint="default" w:ascii="Times New Roman" w:hAnsi="Times New Roman" w:cs="Times New Roman"/>
          <w:b/>
          <w:bCs/>
          <w:color w:val="auto"/>
          <w:spacing w:val="0"/>
          <w:sz w:val="32"/>
          <w:szCs w:val="32"/>
          <w:highlight w:val="none"/>
          <w:u w:val="none" w:color="auto"/>
          <w:lang w:val="en-US" w:eastAsia="zh-CN"/>
        </w:rPr>
        <w:t>三是平台支撑有力，产业空间广阔</w:t>
      </w:r>
      <w:r>
        <w:rPr>
          <w:rFonts w:hint="default" w:ascii="Times New Roman" w:hAnsi="Times New Roman" w:cs="Times New Roman"/>
          <w:b w:val="0"/>
          <w:bCs w:val="0"/>
          <w:color w:val="auto"/>
          <w:spacing w:val="0"/>
          <w:sz w:val="32"/>
          <w:szCs w:val="32"/>
          <w:highlight w:val="none"/>
          <w:u w:val="none" w:color="auto"/>
          <w:lang w:val="en-US" w:eastAsia="zh-CN"/>
        </w:rPr>
        <w:t>。定陶</w:t>
      </w:r>
      <w:r>
        <w:rPr>
          <w:rFonts w:hint="eastAsia" w:ascii="Times New Roman" w:hAnsi="Times New Roman" w:cs="Times New Roman"/>
          <w:b w:val="0"/>
          <w:bCs w:val="0"/>
          <w:color w:val="auto"/>
          <w:spacing w:val="0"/>
          <w:sz w:val="32"/>
          <w:szCs w:val="32"/>
          <w:highlight w:val="none"/>
          <w:u w:val="none" w:color="auto"/>
          <w:lang w:val="en-US" w:eastAsia="zh-CN"/>
        </w:rPr>
        <w:t>润鑫</w:t>
      </w:r>
      <w:r>
        <w:rPr>
          <w:rFonts w:hint="default" w:ascii="Times New Roman" w:hAnsi="Times New Roman" w:cs="Times New Roman"/>
          <w:b w:val="0"/>
          <w:bCs w:val="0"/>
          <w:color w:val="auto"/>
          <w:spacing w:val="0"/>
          <w:sz w:val="32"/>
          <w:szCs w:val="32"/>
          <w:highlight w:val="none"/>
          <w:u w:val="none" w:color="auto"/>
          <w:lang w:val="en-US" w:eastAsia="zh-CN"/>
        </w:rPr>
        <w:t>化工产业园、高端智能制造产业园等产业园区落地投产，配套设施日益完善</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cs="Times New Roman"/>
          <w:b w:val="0"/>
          <w:bCs w:val="0"/>
          <w:color w:val="auto"/>
          <w:spacing w:val="0"/>
          <w:sz w:val="32"/>
          <w:szCs w:val="32"/>
          <w:highlight w:val="none"/>
          <w:u w:val="none" w:color="auto"/>
          <w:lang w:val="en-US" w:eastAsia="zh-CN"/>
        </w:rPr>
        <w:t>产业布局持续优化</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cs="Times New Roman"/>
          <w:b w:val="0"/>
          <w:bCs w:val="0"/>
          <w:color w:val="auto"/>
          <w:spacing w:val="0"/>
          <w:sz w:val="32"/>
          <w:szCs w:val="32"/>
          <w:highlight w:val="none"/>
          <w:u w:val="none" w:color="auto"/>
          <w:lang w:val="en-US" w:eastAsia="zh-CN"/>
        </w:rPr>
        <w:t>服务管理趋于成熟，已具备承接传统产业、新兴产业及未来产业的综合能力，为产业长远发展拉开框架、留足空间。</w:t>
      </w:r>
      <w:r>
        <w:rPr>
          <w:rFonts w:hint="default" w:ascii="Times New Roman" w:hAnsi="Times New Roman" w:cs="Times New Roman"/>
          <w:b/>
          <w:bCs/>
          <w:color w:val="auto"/>
          <w:spacing w:val="0"/>
          <w:sz w:val="32"/>
          <w:szCs w:val="32"/>
          <w:highlight w:val="none"/>
          <w:u w:val="none" w:color="auto"/>
          <w:lang w:val="en-US" w:eastAsia="zh-CN"/>
        </w:rPr>
        <w:t>四是组织基础坚实，队伍作风过硬</w:t>
      </w:r>
      <w:r>
        <w:rPr>
          <w:rFonts w:hint="default" w:ascii="Times New Roman" w:hAnsi="Times New Roman" w:cs="Times New Roman"/>
          <w:b w:val="0"/>
          <w:bCs w:val="0"/>
          <w:color w:val="auto"/>
          <w:spacing w:val="0"/>
          <w:sz w:val="32"/>
          <w:szCs w:val="32"/>
          <w:highlight w:val="none"/>
          <w:u w:val="none" w:color="auto"/>
          <w:lang w:val="en-US" w:eastAsia="zh-CN"/>
        </w:rPr>
        <w:t>。始终将全面从严治党贯穿于改革发展稳定全过程，牢固树立实干实绩导向，充分激发干事创业的积极性、主动性、创造性，形成了“思想同心、目标同向、行动同步”的生动局面，为应对风险挑战、推动高质量发展提供了坚强的政治保障和组织保障。</w:t>
      </w:r>
    </w:p>
    <w:p w14:paraId="0E7E8383">
      <w:pPr>
        <w:spacing w:line="240" w:lineRule="auto"/>
        <w:ind w:firstLine="632" w:firstLineChars="200"/>
        <w:rPr>
          <w:rFonts w:hint="default" w:ascii="Times New Roman" w:hAnsi="Times New Roman"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sz w:val="32"/>
          <w:szCs w:val="32"/>
          <w:highlight w:val="none"/>
          <w:u w:val="none" w:color="auto"/>
          <w:lang w:val="en-US" w:eastAsia="zh-CN"/>
        </w:rPr>
        <w:t>同时</w:t>
      </w:r>
      <w:r>
        <w:rPr>
          <w:rFonts w:hint="default"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全区发展</w:t>
      </w:r>
      <w:r>
        <w:rPr>
          <w:rFonts w:hint="default" w:ascii="Times New Roman" w:hAnsi="Times New Roman" w:cs="Times New Roman"/>
          <w:b w:val="0"/>
          <w:bCs w:val="0"/>
          <w:color w:val="auto"/>
          <w:spacing w:val="0"/>
          <w:sz w:val="32"/>
          <w:szCs w:val="32"/>
          <w:highlight w:val="none"/>
          <w:u w:val="none" w:color="auto"/>
          <w:lang w:val="en-US" w:eastAsia="zh-CN"/>
        </w:rPr>
        <w:t>也面临攻坚克难的现实考验</w:t>
      </w:r>
      <w:r>
        <w:rPr>
          <w:rFonts w:hint="default" w:ascii="Times New Roman" w:hAnsi="Times New Roman" w:eastAsia="仿宋_GB2312" w:cs="Times New Roman"/>
          <w:b w:val="0"/>
          <w:bCs w:val="0"/>
          <w:color w:val="auto"/>
          <w:spacing w:val="0"/>
          <w:sz w:val="32"/>
          <w:szCs w:val="32"/>
          <w:highlight w:val="none"/>
          <w:u w:val="none" w:color="auto"/>
          <w:lang w:val="en-US" w:eastAsia="zh-CN"/>
        </w:rPr>
        <w:t>。工业占比</w:t>
      </w:r>
      <w:r>
        <w:rPr>
          <w:rFonts w:hint="default" w:ascii="Times New Roman" w:hAnsi="Times New Roman" w:cs="Times New Roman"/>
          <w:b w:val="0"/>
          <w:bCs w:val="0"/>
          <w:color w:val="auto"/>
          <w:spacing w:val="0"/>
          <w:sz w:val="32"/>
          <w:szCs w:val="32"/>
          <w:highlight w:val="none"/>
          <w:u w:val="none" w:color="auto"/>
          <w:lang w:val="en-US" w:eastAsia="zh-CN"/>
        </w:rPr>
        <w:t>相对</w:t>
      </w:r>
      <w:r>
        <w:rPr>
          <w:rFonts w:hint="eastAsia" w:ascii="Times New Roman" w:hAnsi="Times New Roman" w:cs="Times New Roman"/>
          <w:b w:val="0"/>
          <w:bCs w:val="0"/>
          <w:color w:val="auto"/>
          <w:spacing w:val="0"/>
          <w:sz w:val="32"/>
          <w:szCs w:val="32"/>
          <w:highlight w:val="none"/>
          <w:u w:val="none" w:color="auto"/>
          <w:lang w:val="en-US" w:eastAsia="zh-CN"/>
        </w:rPr>
        <w:t>较</w:t>
      </w:r>
      <w:r>
        <w:rPr>
          <w:rFonts w:hint="default" w:ascii="Times New Roman" w:hAnsi="Times New Roman" w:eastAsia="仿宋_GB2312" w:cs="Times New Roman"/>
          <w:b w:val="0"/>
          <w:bCs w:val="0"/>
          <w:color w:val="auto"/>
          <w:spacing w:val="0"/>
          <w:sz w:val="32"/>
          <w:szCs w:val="32"/>
          <w:highlight w:val="none"/>
          <w:u w:val="none" w:color="auto"/>
          <w:lang w:val="en-US" w:eastAsia="zh-CN"/>
        </w:rPr>
        <w:t>低，</w:t>
      </w:r>
      <w:r>
        <w:rPr>
          <w:rFonts w:hint="default" w:ascii="Times New Roman" w:hAnsi="Times New Roman" w:cs="Times New Roman"/>
          <w:b w:val="0"/>
          <w:bCs w:val="0"/>
          <w:color w:val="auto"/>
          <w:spacing w:val="0"/>
          <w:sz w:val="32"/>
          <w:szCs w:val="32"/>
          <w:highlight w:val="none"/>
          <w:u w:val="none" w:color="auto"/>
          <w:lang w:val="en-US" w:eastAsia="zh-CN"/>
        </w:rPr>
        <w:t>产业体量</w:t>
      </w:r>
      <w:r>
        <w:rPr>
          <w:rFonts w:hint="eastAsia" w:ascii="Times New Roman" w:hAnsi="Times New Roman" w:cs="Times New Roman"/>
          <w:b w:val="0"/>
          <w:bCs w:val="0"/>
          <w:color w:val="auto"/>
          <w:spacing w:val="0"/>
          <w:sz w:val="32"/>
          <w:szCs w:val="32"/>
          <w:highlight w:val="none"/>
          <w:u w:val="none" w:color="auto"/>
          <w:lang w:val="en-US" w:eastAsia="zh-CN"/>
        </w:rPr>
        <w:t>较</w:t>
      </w:r>
      <w:r>
        <w:rPr>
          <w:rFonts w:hint="default" w:ascii="Times New Roman" w:hAnsi="Times New Roman" w:cs="Times New Roman"/>
          <w:b w:val="0"/>
          <w:bCs w:val="0"/>
          <w:color w:val="auto"/>
          <w:spacing w:val="0"/>
          <w:sz w:val="32"/>
          <w:szCs w:val="32"/>
          <w:highlight w:val="none"/>
          <w:u w:val="none" w:color="auto"/>
          <w:lang w:val="en-US" w:eastAsia="zh-CN"/>
        </w:rPr>
        <w:t>小，创新驱动内生动力不足，</w:t>
      </w:r>
      <w:r>
        <w:rPr>
          <w:rFonts w:hint="default" w:ascii="Times New Roman" w:hAnsi="Times New Roman" w:eastAsia="仿宋_GB2312" w:cs="Times New Roman"/>
          <w:b w:val="0"/>
          <w:bCs w:val="0"/>
          <w:color w:val="auto"/>
          <w:spacing w:val="0"/>
          <w:sz w:val="32"/>
          <w:szCs w:val="32"/>
          <w:highlight w:val="none"/>
          <w:u w:val="none" w:color="auto"/>
          <w:lang w:val="en-US" w:eastAsia="zh-CN"/>
        </w:rPr>
        <w:t>乡村振兴需进一步扎实推进，文化资源挖掘与融合运用</w:t>
      </w:r>
      <w:r>
        <w:rPr>
          <w:rFonts w:hint="default" w:ascii="Times New Roman" w:hAnsi="Times New Roman" w:cs="Times New Roman"/>
          <w:b w:val="0"/>
          <w:bCs w:val="0"/>
          <w:color w:val="auto"/>
          <w:spacing w:val="0"/>
          <w:sz w:val="32"/>
          <w:szCs w:val="32"/>
          <w:highlight w:val="none"/>
          <w:u w:val="none" w:color="auto"/>
          <w:lang w:val="en-US" w:eastAsia="zh-CN"/>
        </w:rPr>
        <w:t>不足</w:t>
      </w:r>
      <w:r>
        <w:rPr>
          <w:rFonts w:hint="default" w:ascii="Times New Roman" w:hAnsi="Times New Roman" w:eastAsia="仿宋_GB2312" w:cs="Times New Roman"/>
          <w:b w:val="0"/>
          <w:bCs w:val="0"/>
          <w:color w:val="auto"/>
          <w:spacing w:val="0"/>
          <w:sz w:val="32"/>
          <w:szCs w:val="32"/>
          <w:highlight w:val="none"/>
          <w:u w:val="none" w:color="auto"/>
          <w:lang w:val="en-US" w:eastAsia="zh-CN"/>
        </w:rPr>
        <w:t>，现代服务业水平</w:t>
      </w:r>
      <w:r>
        <w:rPr>
          <w:rFonts w:hint="eastAsia" w:ascii="Times New Roman" w:hAnsi="Times New Roman" w:cs="Times New Roman"/>
          <w:b w:val="0"/>
          <w:bCs w:val="0"/>
          <w:color w:val="auto"/>
          <w:spacing w:val="0"/>
          <w:sz w:val="32"/>
          <w:szCs w:val="32"/>
          <w:highlight w:val="none"/>
          <w:u w:val="none" w:color="auto"/>
          <w:lang w:val="en-US" w:eastAsia="zh-CN"/>
        </w:rPr>
        <w:t>还</w:t>
      </w:r>
      <w:r>
        <w:rPr>
          <w:rFonts w:hint="default" w:ascii="Times New Roman" w:hAnsi="Times New Roman" w:eastAsia="仿宋_GB2312" w:cs="Times New Roman"/>
          <w:b w:val="0"/>
          <w:bCs w:val="0"/>
          <w:color w:val="auto"/>
          <w:spacing w:val="0"/>
          <w:sz w:val="32"/>
          <w:szCs w:val="32"/>
          <w:highlight w:val="none"/>
          <w:u w:val="none" w:color="auto"/>
          <w:lang w:val="en-US" w:eastAsia="zh-CN"/>
        </w:rPr>
        <w:t>需提升</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城乡区域协调</w:t>
      </w:r>
      <w:r>
        <w:rPr>
          <w:rFonts w:hint="eastAsia" w:ascii="Times New Roman" w:hAnsi="Times New Roman" w:cs="Times New Roman"/>
          <w:b w:val="0"/>
          <w:bCs w:val="0"/>
          <w:color w:val="auto"/>
          <w:spacing w:val="0"/>
          <w:sz w:val="32"/>
          <w:szCs w:val="32"/>
          <w:highlight w:val="none"/>
          <w:u w:val="none" w:color="auto"/>
          <w:lang w:val="en-US" w:eastAsia="zh-CN"/>
        </w:rPr>
        <w:t>发展</w:t>
      </w:r>
      <w:r>
        <w:rPr>
          <w:rFonts w:hint="default" w:ascii="Times New Roman" w:hAnsi="Times New Roman" w:eastAsia="仿宋_GB2312" w:cs="Times New Roman"/>
          <w:b w:val="0"/>
          <w:bCs w:val="0"/>
          <w:color w:val="auto"/>
          <w:spacing w:val="0"/>
          <w:sz w:val="32"/>
          <w:szCs w:val="32"/>
          <w:highlight w:val="none"/>
          <w:u w:val="none" w:color="auto"/>
          <w:lang w:val="en-US" w:eastAsia="zh-CN"/>
        </w:rPr>
        <w:t>机制有待进一步完善，新形势下统筹发展和安全</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防范化解重大风险</w:t>
      </w:r>
      <w:r>
        <w:rPr>
          <w:rFonts w:hint="eastAsia" w:ascii="Times New Roman" w:hAnsi="Times New Roman" w:cs="Times New Roman"/>
          <w:b w:val="0"/>
          <w:bCs w:val="0"/>
          <w:color w:val="auto"/>
          <w:spacing w:val="0"/>
          <w:sz w:val="32"/>
          <w:szCs w:val="32"/>
          <w:highlight w:val="none"/>
          <w:u w:val="none" w:color="auto"/>
          <w:lang w:val="en-US" w:eastAsia="zh-CN"/>
        </w:rPr>
        <w:t>的</w:t>
      </w:r>
      <w:r>
        <w:rPr>
          <w:rFonts w:hint="default" w:ascii="Times New Roman" w:hAnsi="Times New Roman" w:eastAsia="仿宋_GB2312" w:cs="Times New Roman"/>
          <w:b w:val="0"/>
          <w:bCs w:val="0"/>
          <w:color w:val="auto"/>
          <w:spacing w:val="0"/>
          <w:sz w:val="32"/>
          <w:szCs w:val="32"/>
          <w:highlight w:val="none"/>
          <w:u w:val="none" w:color="auto"/>
          <w:lang w:val="en-US" w:eastAsia="zh-CN"/>
        </w:rPr>
        <w:t>能力仍需加强</w:t>
      </w:r>
      <w:r>
        <w:rPr>
          <w:rFonts w:hint="default" w:ascii="Times New Roman" w:hAnsi="Times New Roman" w:cs="Times New Roman"/>
          <w:b w:val="0"/>
          <w:bCs w:val="0"/>
          <w:color w:val="auto"/>
          <w:spacing w:val="0"/>
          <w:sz w:val="32"/>
          <w:szCs w:val="32"/>
          <w:highlight w:val="none"/>
          <w:u w:val="none" w:color="auto"/>
          <w:lang w:val="en-US" w:eastAsia="zh-CN"/>
        </w:rPr>
        <w:t>。</w:t>
      </w:r>
    </w:p>
    <w:p w14:paraId="39A98EDA">
      <w:pPr>
        <w:keepNext w:val="0"/>
        <w:keepLines w:val="0"/>
        <w:pageBreakBefore w:val="0"/>
        <w:shd w:val="clear"/>
        <w:kinsoku/>
        <w:wordWrap/>
        <w:overflowPunct w:val="0"/>
        <w:topLinePunct w:val="0"/>
        <w:autoSpaceDE/>
        <w:autoSpaceDN/>
        <w:bidi w:val="0"/>
        <w:spacing w:line="240" w:lineRule="auto"/>
        <w:textAlignment w:val="auto"/>
        <w:rPr>
          <w:rFonts w:hint="default" w:ascii="Times New Roman" w:hAnsi="Times New Roman" w:cs="Times New Roman"/>
          <w:b w:val="0"/>
          <w:bCs w:val="0"/>
          <w:color w:val="auto"/>
          <w:spacing w:val="0"/>
          <w:sz w:val="32"/>
          <w:szCs w:val="32"/>
          <w:highlight w:val="none"/>
          <w:u w:val="none" w:color="auto"/>
          <w:lang w:val="en-US" w:eastAsia="zh-CN"/>
        </w:rPr>
      </w:pPr>
      <w:r>
        <w:rPr>
          <w:rFonts w:hint="default" w:ascii="Times New Roman" w:hAnsi="Times New Roman" w:cs="Times New Roman"/>
          <w:b w:val="0"/>
          <w:bCs w:val="0"/>
          <w:color w:val="auto"/>
          <w:spacing w:val="0"/>
          <w:sz w:val="32"/>
          <w:szCs w:val="32"/>
          <w:highlight w:val="none"/>
          <w:u w:val="none" w:color="auto"/>
          <w:lang w:val="en-US" w:eastAsia="zh-CN"/>
        </w:rPr>
        <w:br w:type="page"/>
      </w:r>
    </w:p>
    <w:p w14:paraId="337C3A15">
      <w:pPr>
        <w:spacing w:line="24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12" w:name="_Toc877055514"/>
      <w:bookmarkStart w:id="13" w:name="_Toc1303"/>
      <w:bookmarkStart w:id="14" w:name="_Toc6311"/>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第二章 以习近平新时代中国特色社会主义思想为指导</w:t>
      </w:r>
      <w:bookmarkEnd w:id="12"/>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 xml:space="preserve"> </w:t>
      </w:r>
    </w:p>
    <w:p w14:paraId="3E5E484E">
      <w:pPr>
        <w:spacing w:line="24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15" w:name="_Toc1763313543"/>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绘就中国式现代化定陶新蓝图</w:t>
      </w:r>
      <w:bookmarkEnd w:id="13"/>
      <w:bookmarkEnd w:id="14"/>
      <w:bookmarkEnd w:id="15"/>
    </w:p>
    <w:p w14:paraId="018E2648">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6" w:name="_Toc1016347590"/>
      <w:bookmarkStart w:id="17" w:name="_Toc27493"/>
      <w:bookmarkStart w:id="18" w:name="_Toc4803"/>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指导思想</w:t>
      </w:r>
      <w:bookmarkEnd w:id="16"/>
      <w:bookmarkEnd w:id="17"/>
      <w:bookmarkEnd w:id="18"/>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ab/>
      </w:r>
    </w:p>
    <w:p w14:paraId="3D76EBA1">
      <w:pP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cs="Times New Roman"/>
          <w:color w:val="auto"/>
          <w:szCs w:val="32"/>
          <w:highlight w:val="none"/>
          <w:u w:val="none" w:color="auto"/>
        </w:rPr>
        <w:t>坚持马克思列宁主义、毛泽东思想、邓小平理论、“三个代表”重要思想、科学发展观，全面贯彻习近平新时代中国特色社会主义思想，深入贯彻党的二十大和二十届历次全会精神，</w:t>
      </w:r>
      <w:r>
        <w:rPr>
          <w:rFonts w:hint="eastAsia" w:ascii="Times New Roman" w:hAnsi="Times New Roman" w:cs="Times New Roman"/>
          <w:color w:val="auto"/>
          <w:szCs w:val="32"/>
          <w:highlight w:val="none"/>
          <w:u w:val="none" w:color="auto"/>
          <w:lang w:eastAsia="zh-CN"/>
        </w:rPr>
        <w:t>认真</w:t>
      </w:r>
      <w:r>
        <w:rPr>
          <w:rFonts w:hint="default" w:ascii="Times New Roman" w:hAnsi="Times New Roman" w:cs="Times New Roman"/>
          <w:color w:val="auto"/>
          <w:szCs w:val="32"/>
          <w:highlight w:val="none"/>
          <w:u w:val="none" w:color="auto"/>
        </w:rPr>
        <w:t>落实习近平总书记视察山东、视察菏泽重要讲话和重要指示批示精神，完整、准确、全面贯彻新发展理念</w:t>
      </w:r>
      <w:r>
        <w:rPr>
          <w:rFonts w:hint="eastAsia" w:ascii="Times New Roman" w:hAnsi="Times New Roman" w:cs="Times New Roman"/>
          <w:color w:val="auto"/>
          <w:szCs w:val="32"/>
          <w:highlight w:val="none"/>
          <w:u w:val="none" w:color="auto"/>
          <w:lang w:eastAsia="zh-CN"/>
        </w:rPr>
        <w:t>。</w:t>
      </w:r>
      <w:r>
        <w:rPr>
          <w:rFonts w:hint="default" w:ascii="Times New Roman" w:hAnsi="Times New Roman" w:cs="Times New Roman"/>
          <w:color w:val="auto"/>
          <w:szCs w:val="32"/>
          <w:highlight w:val="none"/>
          <w:u w:val="none" w:color="auto"/>
        </w:rPr>
        <w:t>以推动高质量发展为主题，以深化改革开放为根本动力，以满足人民日益增长的美好生活需要为根本目的，以全面从严治党为根本保障，统筹推进稳增长、提质效、塑优势、强动力、防风险、惠民生各项工作，聚焦打造菏泽市域一体化发展核心增长极、改革开放先行区、鲁西南高质量发展示范引领区，深入实施新质生产力培育、改革开放攻坚、乡村全面振兴、城市扩容提质、民生福祉增进、文化品牌塑成“六大工程”，在服务和融入新发展格局、增强经济社会发展创新力、推动黄河流域生态保护和高质量发展上迈出坚实步伐，奋力建设新时代社会主义现代化强区。</w:t>
      </w:r>
    </w:p>
    <w:p w14:paraId="64C8264A">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9" w:name="_Toc14277"/>
      <w:bookmarkStart w:id="20" w:name="_Toc1974731816"/>
      <w:bookmarkStart w:id="21" w:name="_Toc15324"/>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基本原则</w:t>
      </w:r>
      <w:bookmarkEnd w:id="19"/>
      <w:bookmarkEnd w:id="20"/>
      <w:bookmarkEnd w:id="21"/>
    </w:p>
    <w:p w14:paraId="0C3658E6">
      <w:pPr>
        <w:spacing w:line="240" w:lineRule="auto"/>
        <w:ind w:firstLine="632" w:firstLineChars="200"/>
        <w:rPr>
          <w:rFonts w:hint="default" w:ascii="Times New Roman" w:hAnsi="Times New Roman" w:cs="Times New Roman"/>
          <w:b w:val="0"/>
          <w:bCs w:val="0"/>
          <w:color w:val="auto"/>
          <w:spacing w:val="0"/>
          <w:sz w:val="32"/>
          <w:szCs w:val="32"/>
          <w:highlight w:val="none"/>
          <w:u w:val="none" w:color="auto"/>
          <w:lang w:val="en-US" w:eastAsia="zh-CN"/>
        </w:rPr>
      </w:pPr>
      <w:r>
        <w:rPr>
          <w:rFonts w:hint="default" w:ascii="Times New Roman" w:hAnsi="Times New Roman" w:cs="Times New Roman"/>
          <w:b w:val="0"/>
          <w:bCs w:val="0"/>
          <w:color w:val="auto"/>
          <w:spacing w:val="0"/>
          <w:sz w:val="32"/>
          <w:szCs w:val="32"/>
          <w:highlight w:val="none"/>
          <w:u w:val="none" w:color="auto"/>
          <w:lang w:val="en-US" w:eastAsia="zh-CN"/>
        </w:rPr>
        <w:t>“十五五”时期，定陶发展严格遵循党的二十届四中全会明确的“六个坚持”重大原则，做好以下</w:t>
      </w:r>
      <w:r>
        <w:rPr>
          <w:rFonts w:hint="eastAsia" w:ascii="Times New Roman" w:hAnsi="Times New Roman" w:cs="Times New Roman"/>
          <w:b w:val="0"/>
          <w:bCs w:val="0"/>
          <w:color w:val="auto"/>
          <w:spacing w:val="0"/>
          <w:sz w:val="32"/>
          <w:szCs w:val="32"/>
          <w:highlight w:val="none"/>
          <w:u w:val="none" w:color="auto"/>
          <w:lang w:val="en-US" w:eastAsia="zh-CN"/>
        </w:rPr>
        <w:t>六</w:t>
      </w:r>
      <w:r>
        <w:rPr>
          <w:rFonts w:hint="default" w:ascii="Times New Roman" w:hAnsi="Times New Roman" w:cs="Times New Roman"/>
          <w:b w:val="0"/>
          <w:bCs w:val="0"/>
          <w:color w:val="auto"/>
          <w:spacing w:val="0"/>
          <w:sz w:val="32"/>
          <w:szCs w:val="32"/>
          <w:highlight w:val="none"/>
          <w:u w:val="none" w:color="auto"/>
          <w:lang w:val="en-US" w:eastAsia="zh-CN"/>
        </w:rPr>
        <w:t>个方面</w:t>
      </w:r>
      <w:r>
        <w:rPr>
          <w:rFonts w:hint="eastAsia" w:ascii="Times New Roman" w:hAnsi="Times New Roman" w:cs="Times New Roman"/>
          <w:b w:val="0"/>
          <w:bCs w:val="0"/>
          <w:color w:val="auto"/>
          <w:spacing w:val="0"/>
          <w:sz w:val="32"/>
          <w:szCs w:val="32"/>
          <w:highlight w:val="none"/>
          <w:u w:val="none" w:color="auto"/>
          <w:lang w:val="en-US" w:eastAsia="zh-CN"/>
        </w:rPr>
        <w:t>的工作</w:t>
      </w:r>
      <w:r>
        <w:rPr>
          <w:rFonts w:hint="default" w:ascii="Times New Roman" w:hAnsi="Times New Roman" w:cs="Times New Roman"/>
          <w:b w:val="0"/>
          <w:bCs w:val="0"/>
          <w:color w:val="auto"/>
          <w:spacing w:val="0"/>
          <w:sz w:val="32"/>
          <w:szCs w:val="32"/>
          <w:highlight w:val="none"/>
          <w:u w:val="none" w:color="auto"/>
          <w:lang w:val="en-US" w:eastAsia="zh-CN"/>
        </w:rPr>
        <w:t>。</w:t>
      </w:r>
    </w:p>
    <w:p w14:paraId="67474914">
      <w:pP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——坚持和加强党的全面领导。</w:t>
      </w:r>
      <w:r>
        <w:rPr>
          <w:rFonts w:hint="default" w:ascii="Times New Roman" w:hAnsi="Times New Roman" w:eastAsia="仿宋_GB2312" w:cs="Times New Roman"/>
          <w:b w:val="0"/>
          <w:bCs w:val="0"/>
          <w:color w:val="auto"/>
          <w:spacing w:val="0"/>
          <w:sz w:val="32"/>
          <w:szCs w:val="32"/>
          <w:highlight w:val="none"/>
          <w:u w:val="none" w:color="auto"/>
          <w:lang w:val="en-US" w:eastAsia="zh-CN"/>
        </w:rPr>
        <w:t>始终把习近平总书记视察菏泽重要讲话精神作为根本遵循，</w:t>
      </w:r>
      <w:r>
        <w:rPr>
          <w:rFonts w:hint="default" w:ascii="Times New Roman" w:hAnsi="Times New Roman" w:eastAsia="仿宋_GB2312" w:cs="Times New Roman"/>
          <w:b w:val="0"/>
          <w:bCs w:val="0"/>
          <w:strike w:val="0"/>
          <w:dstrike w:val="0"/>
          <w:color w:val="auto"/>
          <w:spacing w:val="0"/>
          <w:sz w:val="32"/>
          <w:szCs w:val="32"/>
          <w:highlight w:val="none"/>
          <w:u w:val="none" w:color="auto"/>
          <w:lang w:val="en-US" w:eastAsia="zh-CN"/>
        </w:rPr>
        <w:t>充分发挥党总揽全局、</w:t>
      </w:r>
      <w:r>
        <w:rPr>
          <w:rFonts w:hint="default" w:ascii="Times New Roman" w:hAnsi="Times New Roman" w:eastAsia="仿宋_GB2312" w:cs="Times New Roman"/>
          <w:b w:val="0"/>
          <w:bCs w:val="0"/>
          <w:color w:val="auto"/>
          <w:spacing w:val="0"/>
          <w:sz w:val="32"/>
          <w:szCs w:val="32"/>
          <w:highlight w:val="none"/>
          <w:u w:val="none" w:color="auto"/>
          <w:lang w:val="en-US" w:eastAsia="zh-CN"/>
        </w:rPr>
        <w:t>协调各方的领导核心作用，坚持领班子、带队伍、抓发展、保稳定，将党的领导贯穿于“十五五”规划实施各领域、全过程</w:t>
      </w:r>
      <w:r>
        <w:rPr>
          <w:rFonts w:hint="default" w:ascii="Times New Roman" w:hAnsi="Times New Roman" w:eastAsia="仿宋_GB2312" w:cs="Times New Roman"/>
          <w:color w:val="auto"/>
          <w:spacing w:val="0"/>
          <w:sz w:val="32"/>
          <w:szCs w:val="32"/>
          <w:highlight w:val="none"/>
          <w:u w:val="none" w:color="auto"/>
          <w:lang w:val="en-US" w:eastAsia="zh-CN"/>
        </w:rPr>
        <w:t>。</w:t>
      </w:r>
    </w:p>
    <w:p w14:paraId="3F860634">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——坚持产业</w:t>
      </w:r>
      <w:r>
        <w:rPr>
          <w:rFonts w:hint="default" w:ascii="Times New Roman" w:hAnsi="Times New Roman" w:cs="Times New Roman"/>
          <w:b/>
          <w:bCs/>
          <w:color w:val="auto"/>
          <w:spacing w:val="0"/>
          <w:sz w:val="32"/>
          <w:szCs w:val="32"/>
          <w:highlight w:val="none"/>
          <w:u w:val="none" w:color="auto"/>
          <w:lang w:val="en-US" w:eastAsia="zh-CN"/>
        </w:rPr>
        <w:t>以质促强</w:t>
      </w:r>
      <w:r>
        <w:rPr>
          <w:rFonts w:hint="default" w:ascii="Times New Roman" w:hAnsi="Times New Roman" w:eastAsia="仿宋_GB2312" w:cs="Times New Roman"/>
          <w:b/>
          <w:bCs/>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坚持以高质量项目支撑高质量发展，因地制宜发展新质生产力</w:t>
      </w:r>
      <w:r>
        <w:rPr>
          <w:rFonts w:hint="default"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推动产业能级跃升，突出特色打造，以优质产业集聚塑造新发展优势，加快构建具有定陶特色的现代化产业体系。</w:t>
      </w:r>
    </w:p>
    <w:p w14:paraId="3C4DAAD7">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——坚持实干为先。</w:t>
      </w:r>
      <w:r>
        <w:rPr>
          <w:rFonts w:hint="default" w:ascii="Times New Roman" w:hAnsi="Times New Roman" w:eastAsia="仿宋_GB2312" w:cs="Times New Roman"/>
          <w:b w:val="0"/>
          <w:bCs w:val="0"/>
          <w:color w:val="auto"/>
          <w:spacing w:val="0"/>
          <w:sz w:val="32"/>
          <w:szCs w:val="32"/>
          <w:highlight w:val="none"/>
          <w:u w:val="none" w:color="auto"/>
          <w:lang w:val="en-US" w:eastAsia="zh-CN"/>
        </w:rPr>
        <w:t>弘扬真抓实干、狠抓落实的作风，树立重实干、重实绩、重担当的鲜明导向，打造一支高素质干部队伍</w:t>
      </w:r>
      <w:r>
        <w:rPr>
          <w:rFonts w:hint="default"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努力</w:t>
      </w:r>
      <w:r>
        <w:rPr>
          <w:rFonts w:hint="eastAsia" w:ascii="Times New Roman" w:hAnsi="Times New Roman" w:cs="Times New Roman"/>
          <w:b w:val="0"/>
          <w:bCs w:val="0"/>
          <w:color w:val="auto"/>
          <w:spacing w:val="0"/>
          <w:sz w:val="32"/>
          <w:szCs w:val="32"/>
          <w:highlight w:val="none"/>
          <w:u w:val="none" w:color="auto"/>
          <w:lang w:val="en-US" w:eastAsia="zh-CN"/>
        </w:rPr>
        <w:t>干成</w:t>
      </w:r>
      <w:r>
        <w:rPr>
          <w:rFonts w:hint="default" w:ascii="Times New Roman" w:hAnsi="Times New Roman" w:eastAsia="仿宋_GB2312" w:cs="Times New Roman"/>
          <w:b w:val="0"/>
          <w:bCs w:val="0"/>
          <w:color w:val="auto"/>
          <w:spacing w:val="0"/>
          <w:sz w:val="32"/>
          <w:szCs w:val="32"/>
          <w:highlight w:val="none"/>
          <w:u w:val="none" w:color="auto"/>
          <w:lang w:val="en-US" w:eastAsia="zh-CN"/>
        </w:rPr>
        <w:t>一批打基础、利长远的</w:t>
      </w:r>
      <w:r>
        <w:rPr>
          <w:rFonts w:hint="eastAsia" w:ascii="Times New Roman" w:hAnsi="Times New Roman" w:cs="Times New Roman"/>
          <w:b w:val="0"/>
          <w:bCs w:val="0"/>
          <w:color w:val="auto"/>
          <w:spacing w:val="0"/>
          <w:sz w:val="32"/>
          <w:szCs w:val="32"/>
          <w:highlight w:val="none"/>
          <w:u w:val="none" w:color="auto"/>
          <w:lang w:val="en-US" w:eastAsia="zh-CN"/>
        </w:rPr>
        <w:t>实事</w:t>
      </w:r>
      <w:r>
        <w:rPr>
          <w:rFonts w:hint="default" w:ascii="Times New Roman" w:hAnsi="Times New Roman" w:eastAsia="仿宋_GB2312" w:cs="Times New Roman"/>
          <w:b w:val="0"/>
          <w:bCs w:val="0"/>
          <w:color w:val="auto"/>
          <w:spacing w:val="0"/>
          <w:sz w:val="32"/>
          <w:szCs w:val="32"/>
          <w:highlight w:val="none"/>
          <w:u w:val="none" w:color="auto"/>
          <w:lang w:val="en-US" w:eastAsia="zh-CN"/>
        </w:rPr>
        <w:t>，确保五年发展迈出坚实步伐</w:t>
      </w:r>
      <w:r>
        <w:rPr>
          <w:rFonts w:hint="default"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展现崭新气象。</w:t>
      </w:r>
    </w:p>
    <w:p w14:paraId="484F3B0C">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——坚持人民至上。</w:t>
      </w:r>
      <w:r>
        <w:rPr>
          <w:rFonts w:hint="default" w:ascii="Times New Roman" w:hAnsi="Times New Roman" w:eastAsia="仿宋_GB2312" w:cs="Times New Roman"/>
          <w:b w:val="0"/>
          <w:bCs w:val="0"/>
          <w:color w:val="auto"/>
          <w:spacing w:val="0"/>
          <w:sz w:val="32"/>
          <w:szCs w:val="32"/>
          <w:highlight w:val="none"/>
          <w:u w:val="none" w:color="auto"/>
          <w:lang w:val="en-US" w:eastAsia="zh-CN"/>
        </w:rPr>
        <w:t>始终把实现好、维护好、发展好最广大人民根本利益作为出发点和落脚点，在高质量发展中持续保障和改善民生，扎实推进共同富裕，推动现代化建设成果更多更公平惠及全区人民，凝聚共建共享的磅礴力量。</w:t>
      </w:r>
    </w:p>
    <w:p w14:paraId="7B37DFB8">
      <w:pPr>
        <w:spacing w:line="240" w:lineRule="auto"/>
        <w:ind w:firstLine="632" w:firstLineChars="200"/>
        <w:rPr>
          <w:rFonts w:hint="default" w:ascii="Times New Roman" w:hAnsi="Times New Roman"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——坚持改革创新。</w:t>
      </w:r>
      <w:r>
        <w:rPr>
          <w:rFonts w:hint="default" w:ascii="Times New Roman" w:hAnsi="Times New Roman" w:eastAsia="仿宋_GB2312" w:cs="Times New Roman"/>
          <w:b w:val="0"/>
          <w:bCs w:val="0"/>
          <w:color w:val="auto"/>
          <w:spacing w:val="0"/>
          <w:sz w:val="32"/>
          <w:szCs w:val="32"/>
          <w:highlight w:val="none"/>
          <w:u w:val="none" w:color="auto"/>
          <w:lang w:val="en-US" w:eastAsia="zh-CN"/>
        </w:rPr>
        <w:t>发扬“大胆干、坚决改、勇于试”的精神，坚持向改革要动力、以创新增活力，聚焦制约发展的体制机制障碍，创新破解发展难题，全力打造一流营商环境，</w:t>
      </w:r>
      <w:r>
        <w:rPr>
          <w:rFonts w:hint="default" w:ascii="Times New Roman" w:hAnsi="Times New Roman" w:cs="Times New Roman"/>
          <w:b w:val="0"/>
          <w:bCs w:val="0"/>
          <w:color w:val="auto"/>
          <w:spacing w:val="0"/>
          <w:sz w:val="32"/>
          <w:szCs w:val="32"/>
          <w:highlight w:val="none"/>
          <w:u w:val="none" w:color="auto"/>
          <w:lang w:val="en-US" w:eastAsia="zh-CN"/>
        </w:rPr>
        <w:t>坚决杜绝形式主义，确保各项改革举措务实管用、落地见效、惠及发展。</w:t>
      </w:r>
    </w:p>
    <w:p w14:paraId="73DE2BC4">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——坚持</w:t>
      </w:r>
      <w:r>
        <w:rPr>
          <w:rFonts w:hint="default" w:ascii="Times New Roman" w:hAnsi="Times New Roman" w:cs="Times New Roman"/>
          <w:b/>
          <w:bCs/>
          <w:color w:val="auto"/>
          <w:spacing w:val="0"/>
          <w:sz w:val="32"/>
          <w:szCs w:val="32"/>
          <w:highlight w:val="none"/>
          <w:u w:val="none" w:color="auto"/>
          <w:lang w:val="en-US" w:eastAsia="zh-CN"/>
        </w:rPr>
        <w:t>统筹发展和安全。</w:t>
      </w:r>
      <w:r>
        <w:rPr>
          <w:rFonts w:hint="default" w:ascii="Times New Roman" w:hAnsi="Times New Roman" w:cs="Times New Roman"/>
          <w:b w:val="0"/>
          <w:bCs w:val="0"/>
          <w:color w:val="auto"/>
          <w:spacing w:val="0"/>
          <w:sz w:val="32"/>
          <w:szCs w:val="32"/>
          <w:highlight w:val="none"/>
          <w:u w:val="none" w:color="auto"/>
          <w:lang w:val="en-US" w:eastAsia="zh-CN"/>
        </w:rPr>
        <w:t>增强忧患意识，树立底线思维，把安全发展贯穿经济社会发展各领域</w:t>
      </w:r>
      <w:r>
        <w:rPr>
          <w:rFonts w:hint="eastAsia"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cs="Times New Roman"/>
          <w:b w:val="0"/>
          <w:bCs w:val="0"/>
          <w:color w:val="auto"/>
          <w:spacing w:val="0"/>
          <w:sz w:val="32"/>
          <w:szCs w:val="32"/>
          <w:highlight w:val="none"/>
          <w:u w:val="none" w:color="auto"/>
          <w:lang w:val="en-US" w:eastAsia="zh-CN"/>
        </w:rPr>
        <w:t>全过程，有效防范化解政治、社会、生态等领域风险，筑牢“一排底线”，以新安全格局保障新发展格局，维护社会大局和谐稳定。</w:t>
      </w:r>
    </w:p>
    <w:p w14:paraId="69D03DFA">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22" w:name="_Toc224227969"/>
      <w:bookmarkStart w:id="23" w:name="_Toc27737"/>
      <w:bookmarkStart w:id="24" w:name="_Toc7760"/>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主要目标</w:t>
      </w:r>
      <w:bookmarkEnd w:id="22"/>
      <w:bookmarkEnd w:id="23"/>
      <w:bookmarkEnd w:id="24"/>
    </w:p>
    <w:p w14:paraId="0F90FA73">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到2030年，锚定基本实现社会主义现代化的总体目标，</w:t>
      </w:r>
      <w:r>
        <w:rPr>
          <w:rFonts w:hint="default" w:ascii="Times New Roman" w:hAnsi="Times New Roman" w:cs="Times New Roman"/>
          <w:color w:val="auto"/>
          <w:spacing w:val="0"/>
          <w:sz w:val="32"/>
          <w:szCs w:val="32"/>
          <w:highlight w:val="none"/>
          <w:u w:val="none" w:color="auto"/>
          <w:lang w:val="en-US" w:eastAsia="zh-CN"/>
        </w:rPr>
        <w:t>推动</w:t>
      </w:r>
      <w:r>
        <w:rPr>
          <w:rFonts w:hint="default" w:ascii="Times New Roman" w:hAnsi="Times New Roman" w:eastAsia="仿宋_GB2312" w:cs="Times New Roman"/>
          <w:color w:val="auto"/>
          <w:spacing w:val="0"/>
          <w:sz w:val="32"/>
          <w:szCs w:val="32"/>
          <w:highlight w:val="none"/>
          <w:u w:val="none" w:color="auto"/>
          <w:lang w:val="en-US" w:eastAsia="zh-CN"/>
        </w:rPr>
        <w:t>全区经济实力、创新动能、发展质效实现系统性提升，区域综</w:t>
      </w:r>
      <w:r>
        <w:rPr>
          <w:rFonts w:hint="default" w:ascii="Times New Roman" w:hAnsi="Times New Roman" w:cs="Times New Roman"/>
          <w:color w:val="auto"/>
          <w:spacing w:val="0"/>
          <w:sz w:val="32"/>
          <w:szCs w:val="32"/>
          <w:highlight w:val="none"/>
          <w:u w:val="none" w:color="auto"/>
          <w:lang w:val="en-US" w:eastAsia="zh-CN"/>
        </w:rPr>
        <w:t>合</w:t>
      </w:r>
      <w:r>
        <w:rPr>
          <w:rFonts w:hint="default" w:ascii="Times New Roman" w:hAnsi="Times New Roman" w:eastAsia="仿宋_GB2312" w:cs="Times New Roman"/>
          <w:color w:val="auto"/>
          <w:spacing w:val="0"/>
          <w:sz w:val="32"/>
          <w:szCs w:val="32"/>
          <w:highlight w:val="none"/>
          <w:u w:val="none" w:color="auto"/>
          <w:lang w:val="en-US" w:eastAsia="zh-CN"/>
        </w:rPr>
        <w:t>竞争力显著增强，新质生产力成为发展的重要主导力量</w:t>
      </w:r>
      <w:r>
        <w:rPr>
          <w:rFonts w:hint="default"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人民</w:t>
      </w:r>
      <w:r>
        <w:rPr>
          <w:rFonts w:hint="default" w:ascii="Times New Roman" w:hAnsi="Times New Roman" w:cs="Times New Roman"/>
          <w:color w:val="auto"/>
          <w:spacing w:val="0"/>
          <w:sz w:val="32"/>
          <w:szCs w:val="32"/>
          <w:highlight w:val="none"/>
          <w:u w:val="none" w:color="auto"/>
          <w:lang w:val="en-US" w:eastAsia="zh-CN"/>
        </w:rPr>
        <w:t>群</w:t>
      </w:r>
      <w:r>
        <w:rPr>
          <w:rFonts w:hint="default" w:ascii="Times New Roman" w:hAnsi="Times New Roman" w:eastAsia="仿宋_GB2312" w:cs="Times New Roman"/>
          <w:color w:val="auto"/>
          <w:spacing w:val="0"/>
          <w:sz w:val="32"/>
          <w:szCs w:val="32"/>
          <w:highlight w:val="none"/>
          <w:u w:val="none" w:color="auto"/>
          <w:lang w:val="en-US" w:eastAsia="zh-CN"/>
        </w:rPr>
        <w:t>众获得感、幸福感、安全感更加充实、更有保障、更可持续。</w:t>
      </w:r>
    </w:p>
    <w:p w14:paraId="1BF308C2">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——高质量发展迈出坚实步伐。</w:t>
      </w:r>
      <w:r>
        <w:rPr>
          <w:rFonts w:hint="default" w:ascii="Times New Roman" w:hAnsi="Times New Roman" w:eastAsia="仿宋_GB2312" w:cs="Times New Roman"/>
          <w:b w:val="0"/>
          <w:bCs w:val="0"/>
          <w:color w:val="auto"/>
          <w:spacing w:val="0"/>
          <w:sz w:val="32"/>
          <w:szCs w:val="32"/>
          <w:highlight w:val="none"/>
          <w:u w:val="none" w:color="auto"/>
          <w:lang w:val="en-US" w:eastAsia="zh-CN"/>
        </w:rPr>
        <w:t>经济持续稳定增长，工业能级显著提升，农业</w:t>
      </w:r>
      <w:r>
        <w:rPr>
          <w:rFonts w:hint="default" w:ascii="Times New Roman" w:hAnsi="Times New Roman" w:cs="Times New Roman"/>
          <w:b w:val="0"/>
          <w:bCs w:val="0"/>
          <w:color w:val="auto"/>
          <w:spacing w:val="0"/>
          <w:sz w:val="32"/>
          <w:szCs w:val="32"/>
          <w:highlight w:val="none"/>
          <w:u w:val="none" w:color="auto"/>
          <w:lang w:val="en-US" w:eastAsia="zh-CN"/>
        </w:rPr>
        <w:t>特色</w:t>
      </w:r>
      <w:r>
        <w:rPr>
          <w:rFonts w:hint="default" w:ascii="Times New Roman" w:hAnsi="Times New Roman" w:eastAsia="仿宋_GB2312" w:cs="Times New Roman"/>
          <w:b w:val="0"/>
          <w:bCs w:val="0"/>
          <w:color w:val="auto"/>
          <w:spacing w:val="0"/>
          <w:sz w:val="32"/>
          <w:szCs w:val="32"/>
          <w:highlight w:val="none"/>
          <w:u w:val="none" w:color="auto"/>
          <w:lang w:val="en-US" w:eastAsia="zh-CN"/>
        </w:rPr>
        <w:t>优势彰显，服务业提质扩容，全区经济发展韧性、协调性和可</w:t>
      </w:r>
      <w:r>
        <w:rPr>
          <w:rFonts w:hint="default" w:ascii="Times New Roman" w:hAnsi="Times New Roman" w:cs="Times New Roman"/>
          <w:b w:val="0"/>
          <w:bCs w:val="0"/>
          <w:color w:val="auto"/>
          <w:spacing w:val="0"/>
          <w:sz w:val="32"/>
          <w:szCs w:val="32"/>
          <w:highlight w:val="none"/>
          <w:u w:val="none" w:color="auto"/>
          <w:lang w:val="en-US" w:eastAsia="zh-CN"/>
        </w:rPr>
        <w:t>持</w:t>
      </w:r>
      <w:r>
        <w:rPr>
          <w:rFonts w:hint="default" w:ascii="Times New Roman" w:hAnsi="Times New Roman" w:eastAsia="仿宋_GB2312" w:cs="Times New Roman"/>
          <w:b w:val="0"/>
          <w:bCs w:val="0"/>
          <w:color w:val="auto"/>
          <w:spacing w:val="0"/>
          <w:sz w:val="32"/>
          <w:szCs w:val="32"/>
          <w:highlight w:val="none"/>
          <w:u w:val="none" w:color="auto"/>
          <w:lang w:val="en-US" w:eastAsia="zh-CN"/>
        </w:rPr>
        <w:t>续性全面增强，地区生产总值年均增长</w:t>
      </w:r>
      <w:r>
        <w:rPr>
          <w:rFonts w:hint="default" w:ascii="Times New Roman" w:hAnsi="Times New Roman" w:cs="Times New Roman"/>
          <w:b w:val="0"/>
          <w:bCs w:val="0"/>
          <w:color w:val="auto"/>
          <w:spacing w:val="0"/>
          <w:sz w:val="32"/>
          <w:szCs w:val="32"/>
          <w:highlight w:val="none"/>
          <w:u w:val="none" w:color="auto"/>
          <w:lang w:val="en-US" w:eastAsia="zh-CN"/>
        </w:rPr>
        <w:t>5</w:t>
      </w:r>
      <w:r>
        <w:rPr>
          <w:rFonts w:hint="default" w:ascii="Times New Roman" w:hAnsi="Times New Roman" w:eastAsia="仿宋_GB2312" w:cs="Times New Roman"/>
          <w:b w:val="0"/>
          <w:bCs w:val="0"/>
          <w:color w:val="auto"/>
          <w:spacing w:val="0"/>
          <w:sz w:val="32"/>
          <w:szCs w:val="32"/>
          <w:highlight w:val="none"/>
          <w:u w:val="none" w:color="auto"/>
          <w:lang w:val="en-US" w:eastAsia="zh-CN"/>
        </w:rPr>
        <w:t>%</w:t>
      </w:r>
      <w:r>
        <w:rPr>
          <w:rFonts w:hint="default" w:ascii="Times New Roman" w:hAnsi="Times New Roman" w:cs="Times New Roman"/>
          <w:b w:val="0"/>
          <w:bCs w:val="0"/>
          <w:color w:val="auto"/>
          <w:spacing w:val="0"/>
          <w:sz w:val="32"/>
          <w:szCs w:val="32"/>
          <w:highlight w:val="none"/>
          <w:u w:val="none" w:color="auto"/>
          <w:lang w:val="en-US" w:eastAsia="zh-CN"/>
        </w:rPr>
        <w:t>以上，</w:t>
      </w:r>
      <w:r>
        <w:rPr>
          <w:rFonts w:hint="default" w:ascii="Times New Roman" w:hAnsi="Times New Roman" w:eastAsia="仿宋_GB2312" w:cs="Times New Roman"/>
          <w:b w:val="0"/>
          <w:bCs w:val="0"/>
          <w:color w:val="auto"/>
          <w:spacing w:val="0"/>
          <w:sz w:val="32"/>
          <w:szCs w:val="32"/>
          <w:highlight w:val="none"/>
          <w:u w:val="none" w:color="auto"/>
          <w:lang w:val="en-US" w:eastAsia="zh-CN"/>
        </w:rPr>
        <w:t>主要经济指标保持平稳健康增长。</w:t>
      </w:r>
    </w:p>
    <w:p w14:paraId="56A7F002">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——新质生产力加速形成。</w:t>
      </w:r>
      <w:r>
        <w:rPr>
          <w:rFonts w:hint="default" w:ascii="Times New Roman" w:hAnsi="Times New Roman" w:eastAsia="仿宋_GB2312" w:cs="Times New Roman"/>
          <w:b w:val="0"/>
          <w:bCs w:val="0"/>
          <w:color w:val="auto"/>
          <w:spacing w:val="0"/>
          <w:sz w:val="32"/>
          <w:szCs w:val="32"/>
          <w:highlight w:val="none"/>
          <w:u w:val="none" w:color="auto"/>
          <w:lang w:val="en-US" w:eastAsia="zh-CN"/>
        </w:rPr>
        <w:t>差异化发展、竞争力强劲的现代化产业体系日趋完善，循环经济发展取得突破，创新平台建设持续优化，全社会研发经费投入</w:t>
      </w:r>
      <w:r>
        <w:rPr>
          <w:rFonts w:hint="eastAsia" w:ascii="Times New Roman" w:hAnsi="Times New Roman" w:cs="Times New Roman"/>
          <w:b w:val="0"/>
          <w:bCs w:val="0"/>
          <w:color w:val="auto"/>
          <w:spacing w:val="0"/>
          <w:sz w:val="32"/>
          <w:szCs w:val="32"/>
          <w:highlight w:val="none"/>
          <w:u w:val="none" w:color="auto"/>
          <w:lang w:val="en-US" w:eastAsia="zh-CN"/>
        </w:rPr>
        <w:t>平均增长9%左右</w:t>
      </w:r>
      <w:r>
        <w:rPr>
          <w:rFonts w:hint="default" w:ascii="Times New Roman" w:hAnsi="Times New Roman" w:eastAsia="仿宋_GB2312"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科技创新和产业创新实现深度融合，</w:t>
      </w:r>
      <w:r>
        <w:rPr>
          <w:rFonts w:hint="default" w:ascii="Times New Roman" w:hAnsi="Times New Roman" w:eastAsia="仿宋_GB2312" w:cs="Times New Roman"/>
          <w:b w:val="0"/>
          <w:bCs w:val="0"/>
          <w:color w:val="auto"/>
          <w:spacing w:val="0"/>
          <w:sz w:val="32"/>
          <w:szCs w:val="32"/>
          <w:highlight w:val="none"/>
          <w:u w:val="none" w:color="auto"/>
          <w:lang w:val="en-US" w:eastAsia="zh-CN"/>
        </w:rPr>
        <w:t>在</w:t>
      </w:r>
      <w:r>
        <w:rPr>
          <w:rFonts w:hint="default" w:ascii="Times New Roman" w:hAnsi="Times New Roman" w:cs="Times New Roman"/>
          <w:b w:val="0"/>
          <w:bCs w:val="0"/>
          <w:color w:val="auto"/>
          <w:spacing w:val="0"/>
          <w:sz w:val="32"/>
          <w:szCs w:val="32"/>
          <w:highlight w:val="none"/>
          <w:u w:val="none" w:color="auto"/>
          <w:lang w:val="en-US" w:eastAsia="zh-CN"/>
        </w:rPr>
        <w:t>现代医药</w:t>
      </w:r>
      <w:r>
        <w:rPr>
          <w:rFonts w:hint="default" w:ascii="Times New Roman" w:hAnsi="Times New Roman" w:eastAsia="仿宋_GB2312" w:cs="Times New Roman"/>
          <w:b w:val="0"/>
          <w:bCs w:val="0"/>
          <w:color w:val="auto"/>
          <w:spacing w:val="0"/>
          <w:sz w:val="32"/>
          <w:szCs w:val="32"/>
          <w:highlight w:val="none"/>
          <w:u w:val="none" w:color="auto"/>
          <w:lang w:val="en-US" w:eastAsia="zh-CN"/>
        </w:rPr>
        <w:t>、新材料、新能源等优势领域攻克一批关键核心技术，科技成果转化率明显提高，创新驱动成为经济增长的主引擎。</w:t>
      </w:r>
    </w:p>
    <w:p w14:paraId="22BE14CA">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——改革开放达到更高水平。</w:t>
      </w:r>
      <w:r>
        <w:rPr>
          <w:rFonts w:hint="default" w:ascii="Times New Roman" w:hAnsi="Times New Roman" w:eastAsia="仿宋_GB2312" w:cs="Times New Roman"/>
          <w:b w:val="0"/>
          <w:bCs w:val="0"/>
          <w:color w:val="auto"/>
          <w:spacing w:val="0"/>
          <w:sz w:val="32"/>
          <w:szCs w:val="32"/>
          <w:highlight w:val="none"/>
          <w:u w:val="none" w:color="auto"/>
          <w:lang w:val="en-US" w:eastAsia="zh-CN"/>
        </w:rPr>
        <w:t>重点领域和关键环节改革取得决定性成果，政府债务管理能力</w:t>
      </w:r>
      <w:r>
        <w:rPr>
          <w:rFonts w:hint="default" w:ascii="Times New Roman" w:hAnsi="Times New Roman" w:cs="Times New Roman"/>
          <w:b w:val="0"/>
          <w:bCs w:val="0"/>
          <w:color w:val="auto"/>
          <w:spacing w:val="0"/>
          <w:sz w:val="32"/>
          <w:szCs w:val="32"/>
          <w:highlight w:val="none"/>
          <w:u w:val="none" w:color="auto"/>
          <w:lang w:val="en-US" w:eastAsia="zh-CN"/>
        </w:rPr>
        <w:t>不断提高。</w:t>
      </w:r>
      <w:r>
        <w:rPr>
          <w:rFonts w:hint="default" w:ascii="Times New Roman" w:hAnsi="Times New Roman" w:eastAsia="仿宋_GB2312" w:cs="Times New Roman"/>
          <w:b w:val="0"/>
          <w:bCs w:val="0"/>
          <w:color w:val="auto"/>
          <w:spacing w:val="0"/>
          <w:sz w:val="32"/>
          <w:szCs w:val="32"/>
          <w:highlight w:val="none"/>
          <w:u w:val="none" w:color="auto"/>
          <w:lang w:val="en-US" w:eastAsia="zh-CN"/>
        </w:rPr>
        <w:t>开放型经济水平显著提升，</w:t>
      </w:r>
      <w:r>
        <w:rPr>
          <w:rFonts w:hint="default" w:ascii="Times New Roman" w:hAnsi="Times New Roman" w:eastAsia="仿宋_GB2312" w:cs="Times New Roman"/>
          <w:color w:val="auto"/>
          <w:sz w:val="32"/>
          <w:szCs w:val="32"/>
          <w:highlight w:val="none"/>
          <w:u w:val="none" w:color="auto"/>
          <w:lang w:val="en-US" w:eastAsia="zh-CN"/>
        </w:rPr>
        <w:t>对外</w:t>
      </w:r>
      <w:r>
        <w:rPr>
          <w:rFonts w:hint="default" w:ascii="Times New Roman" w:hAnsi="Times New Roman" w:eastAsia="仿宋_GB2312" w:cs="Times New Roman"/>
          <w:color w:val="auto"/>
          <w:sz w:val="32"/>
          <w:szCs w:val="32"/>
          <w:highlight w:val="none"/>
          <w:u w:val="none" w:color="auto"/>
        </w:rPr>
        <w:t>贸易创新发展</w:t>
      </w:r>
      <w:r>
        <w:rPr>
          <w:rFonts w:hint="default" w:ascii="Times New Roman" w:hAnsi="Times New Roman" w:cs="Times New Roman"/>
          <w:color w:val="auto"/>
          <w:sz w:val="32"/>
          <w:szCs w:val="32"/>
          <w:highlight w:val="none"/>
          <w:u w:val="none" w:color="auto"/>
          <w:lang w:eastAsia="zh-CN"/>
        </w:rPr>
        <w:t>，货物贸易规模达到</w:t>
      </w:r>
      <w:r>
        <w:rPr>
          <w:rFonts w:hint="default" w:ascii="Times New Roman" w:hAnsi="Times New Roman" w:cs="Times New Roman"/>
          <w:color w:val="auto"/>
          <w:sz w:val="32"/>
          <w:szCs w:val="32"/>
          <w:highlight w:val="none"/>
          <w:u w:val="none" w:color="auto"/>
          <w:lang w:val="en-US" w:eastAsia="zh-CN"/>
        </w:rPr>
        <w:t>9</w:t>
      </w:r>
      <w:r>
        <w:rPr>
          <w:rFonts w:hint="eastAsia" w:ascii="Times New Roman" w:hAnsi="Times New Roman" w:cs="Times New Roman"/>
          <w:color w:val="auto"/>
          <w:sz w:val="32"/>
          <w:szCs w:val="32"/>
          <w:highlight w:val="none"/>
          <w:u w:val="none" w:color="auto"/>
          <w:lang w:val="en-US" w:eastAsia="zh-CN"/>
        </w:rPr>
        <w:t>—</w:t>
      </w:r>
      <w:r>
        <w:rPr>
          <w:rFonts w:hint="default" w:ascii="Times New Roman" w:hAnsi="Times New Roman" w:cs="Times New Roman"/>
          <w:color w:val="auto"/>
          <w:sz w:val="32"/>
          <w:szCs w:val="32"/>
          <w:highlight w:val="none"/>
          <w:u w:val="none" w:color="auto"/>
          <w:lang w:val="en-US" w:eastAsia="zh-CN"/>
        </w:rPr>
        <w:t>10</w:t>
      </w:r>
      <w:r>
        <w:rPr>
          <w:rFonts w:hint="default" w:ascii="Times New Roman" w:hAnsi="Times New Roman" w:cs="Times New Roman"/>
          <w:color w:val="auto"/>
          <w:sz w:val="32"/>
          <w:szCs w:val="32"/>
          <w:highlight w:val="none"/>
          <w:u w:val="none" w:color="auto"/>
          <w:lang w:eastAsia="zh-CN"/>
        </w:rPr>
        <w:t>亿元</w:t>
      </w:r>
      <w:r>
        <w:rPr>
          <w:rFonts w:hint="default" w:ascii="Times New Roman" w:hAnsi="Times New Roman" w:eastAsia="仿宋_GB2312" w:cs="Times New Roman"/>
          <w:color w:val="auto"/>
          <w:sz w:val="32"/>
          <w:szCs w:val="32"/>
          <w:highlight w:val="none"/>
          <w:u w:val="none" w:color="auto"/>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招商引资提质增效，营商环境持续改善，在区域合作</w:t>
      </w:r>
      <w:r>
        <w:rPr>
          <w:rFonts w:hint="default" w:ascii="Times New Roman" w:hAnsi="Times New Roman" w:cs="Times New Roman"/>
          <w:b w:val="0"/>
          <w:bCs w:val="0"/>
          <w:color w:val="auto"/>
          <w:spacing w:val="0"/>
          <w:sz w:val="32"/>
          <w:szCs w:val="32"/>
          <w:highlight w:val="none"/>
          <w:u w:val="none" w:color="auto"/>
          <w:lang w:val="en-US" w:eastAsia="zh-CN"/>
        </w:rPr>
        <w:t>和</w:t>
      </w:r>
      <w:r>
        <w:rPr>
          <w:rFonts w:hint="default" w:ascii="Times New Roman" w:hAnsi="Times New Roman" w:eastAsia="仿宋_GB2312" w:cs="Times New Roman"/>
          <w:b w:val="0"/>
          <w:bCs w:val="0"/>
          <w:color w:val="auto"/>
          <w:spacing w:val="0"/>
          <w:sz w:val="32"/>
          <w:szCs w:val="32"/>
          <w:highlight w:val="none"/>
          <w:u w:val="none" w:color="auto"/>
          <w:lang w:val="en-US" w:eastAsia="zh-CN"/>
        </w:rPr>
        <w:t>产业承接中形成竞争新优势，发展内生动力</w:t>
      </w:r>
      <w:r>
        <w:rPr>
          <w:rFonts w:hint="default" w:ascii="Times New Roman" w:hAnsi="Times New Roman" w:cs="Times New Roman"/>
          <w:b w:val="0"/>
          <w:bCs w:val="0"/>
          <w:color w:val="auto"/>
          <w:spacing w:val="0"/>
          <w:sz w:val="32"/>
          <w:szCs w:val="32"/>
          <w:highlight w:val="none"/>
          <w:u w:val="none" w:color="auto"/>
          <w:lang w:val="en-US" w:eastAsia="zh-CN"/>
        </w:rPr>
        <w:t>和</w:t>
      </w:r>
      <w:r>
        <w:rPr>
          <w:rFonts w:hint="default" w:ascii="Times New Roman" w:hAnsi="Times New Roman" w:eastAsia="仿宋_GB2312" w:cs="Times New Roman"/>
          <w:b w:val="0"/>
          <w:bCs w:val="0"/>
          <w:color w:val="auto"/>
          <w:spacing w:val="0"/>
          <w:sz w:val="32"/>
          <w:szCs w:val="32"/>
          <w:highlight w:val="none"/>
          <w:u w:val="none" w:color="auto"/>
          <w:lang w:val="en-US" w:eastAsia="zh-CN"/>
        </w:rPr>
        <w:t>外部活力全面增强</w:t>
      </w:r>
      <w:r>
        <w:rPr>
          <w:rFonts w:hint="default" w:ascii="Times New Roman" w:hAnsi="Times New Roman" w:cs="Times New Roman"/>
          <w:b w:val="0"/>
          <w:bCs w:val="0"/>
          <w:color w:val="auto"/>
          <w:spacing w:val="0"/>
          <w:sz w:val="32"/>
          <w:szCs w:val="32"/>
          <w:highlight w:val="none"/>
          <w:u w:val="none" w:color="auto"/>
          <w:lang w:val="en-US" w:eastAsia="zh-CN"/>
        </w:rPr>
        <w:t>。</w:t>
      </w:r>
    </w:p>
    <w:p w14:paraId="7FC13E78">
      <w:pP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——城乡融合</w:t>
      </w:r>
      <w:r>
        <w:rPr>
          <w:rFonts w:hint="default" w:ascii="Times New Roman" w:hAnsi="Times New Roman" w:cs="Times New Roman"/>
          <w:b/>
          <w:bCs/>
          <w:color w:val="auto"/>
          <w:spacing w:val="0"/>
          <w:sz w:val="32"/>
          <w:szCs w:val="32"/>
          <w:highlight w:val="none"/>
          <w:u w:val="none" w:color="auto"/>
          <w:lang w:val="en-US" w:eastAsia="zh-CN"/>
        </w:rPr>
        <w:t>发展加速推进</w:t>
      </w:r>
      <w:r>
        <w:rPr>
          <w:rFonts w:hint="default" w:ascii="Times New Roman" w:hAnsi="Times New Roman" w:eastAsia="仿宋_GB2312" w:cs="Times New Roman"/>
          <w:b/>
          <w:bCs/>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新型城镇化建设取得</w:t>
      </w:r>
      <w:r>
        <w:rPr>
          <w:rFonts w:hint="eastAsia" w:ascii="Times New Roman" w:hAnsi="Times New Roman" w:cs="Times New Roman"/>
          <w:color w:val="auto"/>
          <w:spacing w:val="0"/>
          <w:sz w:val="32"/>
          <w:szCs w:val="32"/>
          <w:highlight w:val="none"/>
          <w:u w:val="none" w:color="auto"/>
          <w:lang w:val="en-US" w:eastAsia="zh-CN"/>
        </w:rPr>
        <w:t>重要</w:t>
      </w:r>
      <w:r>
        <w:rPr>
          <w:rFonts w:hint="default" w:ascii="Times New Roman" w:hAnsi="Times New Roman" w:eastAsia="仿宋_GB2312" w:cs="Times New Roman"/>
          <w:color w:val="auto"/>
          <w:spacing w:val="0"/>
          <w:sz w:val="32"/>
          <w:szCs w:val="32"/>
          <w:highlight w:val="none"/>
          <w:u w:val="none" w:color="auto"/>
          <w:lang w:val="en-US" w:eastAsia="zh-CN"/>
        </w:rPr>
        <w:t>进展，常住人口城镇化率达到57%</w:t>
      </w:r>
      <w:r>
        <w:rPr>
          <w:rFonts w:hint="default" w:ascii="Times New Roman" w:hAnsi="Times New Roman" w:cs="Times New Roman"/>
          <w:color w:val="auto"/>
          <w:spacing w:val="0"/>
          <w:sz w:val="32"/>
          <w:szCs w:val="32"/>
          <w:highlight w:val="none"/>
          <w:u w:val="none" w:color="auto"/>
          <w:lang w:val="en-US" w:eastAsia="zh-CN"/>
        </w:rPr>
        <w:t>以上，</w:t>
      </w:r>
      <w:r>
        <w:rPr>
          <w:rFonts w:hint="default" w:ascii="Times New Roman" w:hAnsi="Times New Roman" w:eastAsia="仿宋_GB2312" w:cs="Times New Roman"/>
          <w:color w:val="auto"/>
          <w:spacing w:val="0"/>
          <w:sz w:val="32"/>
          <w:szCs w:val="32"/>
          <w:highlight w:val="none"/>
          <w:u w:val="none" w:color="auto"/>
          <w:lang w:val="en-US" w:eastAsia="zh-CN"/>
        </w:rPr>
        <w:t>城乡基础设施</w:t>
      </w:r>
      <w:r>
        <w:rPr>
          <w:rFonts w:hint="default" w:ascii="Times New Roman" w:hAnsi="Times New Roman" w:cs="Times New Roman"/>
          <w:color w:val="auto"/>
          <w:spacing w:val="0"/>
          <w:sz w:val="32"/>
          <w:szCs w:val="32"/>
          <w:highlight w:val="none"/>
          <w:u w:val="none" w:color="auto"/>
          <w:lang w:val="en-US" w:eastAsia="zh-CN"/>
        </w:rPr>
        <w:t>和</w:t>
      </w:r>
      <w:r>
        <w:rPr>
          <w:rFonts w:hint="default" w:ascii="Times New Roman" w:hAnsi="Times New Roman" w:eastAsia="仿宋_GB2312" w:cs="Times New Roman"/>
          <w:color w:val="auto"/>
          <w:spacing w:val="0"/>
          <w:sz w:val="32"/>
          <w:szCs w:val="32"/>
          <w:highlight w:val="none"/>
          <w:u w:val="none" w:color="auto"/>
          <w:lang w:val="en-US" w:eastAsia="zh-CN"/>
        </w:rPr>
        <w:t>公共服务一体化发展水平显著提升，城乡要素平等交换</w:t>
      </w:r>
      <w:r>
        <w:rPr>
          <w:rFonts w:hint="eastAsia"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双向流动更加顺畅，美丽乡村建设再上新台阶。</w:t>
      </w:r>
    </w:p>
    <w:p w14:paraId="289E9520">
      <w:pP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——社会文明程度普遍提高。</w:t>
      </w:r>
      <w:r>
        <w:rPr>
          <w:rFonts w:hint="default" w:ascii="Times New Roman" w:hAnsi="Times New Roman" w:eastAsia="仿宋_GB2312" w:cs="Times New Roman"/>
          <w:color w:val="auto"/>
          <w:spacing w:val="0"/>
          <w:sz w:val="32"/>
          <w:szCs w:val="32"/>
          <w:highlight w:val="none"/>
          <w:u w:val="none" w:color="auto"/>
          <w:lang w:val="en-US" w:eastAsia="zh-CN"/>
        </w:rPr>
        <w:t>社会主义核心价值观深入人心</w:t>
      </w:r>
      <w:r>
        <w:rPr>
          <w:rFonts w:hint="default"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全社会凝聚力和向心力进一步增强。定陶特色文化品牌影响力显著扩大，优秀传统文化得到创造性转化和创新性发展，公共文化服务体系更加完善，人民群众精神文化生活更加丰富多彩。</w:t>
      </w:r>
    </w:p>
    <w:p w14:paraId="18B51D75">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——生态建设成效卓著。</w:t>
      </w:r>
      <w:r>
        <w:rPr>
          <w:rFonts w:hint="default" w:ascii="Times New Roman" w:hAnsi="Times New Roman" w:eastAsia="仿宋_GB2312" w:cs="Times New Roman"/>
          <w:b w:val="0"/>
          <w:bCs w:val="0"/>
          <w:color w:val="auto"/>
          <w:spacing w:val="0"/>
          <w:sz w:val="32"/>
          <w:szCs w:val="32"/>
          <w:highlight w:val="none"/>
          <w:u w:val="none" w:color="auto"/>
          <w:lang w:val="en-US" w:eastAsia="zh-CN"/>
        </w:rPr>
        <w:t>积极稳妥推进和实现碳达峰</w:t>
      </w:r>
      <w:r>
        <w:rPr>
          <w:rFonts w:hint="default"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生产生活方式绿色转型成效显著</w:t>
      </w:r>
      <w:r>
        <w:rPr>
          <w:rFonts w:hint="default"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能源资源配置更加合理</w:t>
      </w:r>
      <w:r>
        <w:rPr>
          <w:rFonts w:hint="default" w:ascii="Times New Roman" w:hAnsi="Times New Roman" w:cs="Times New Roman"/>
          <w:b w:val="0"/>
          <w:bCs w:val="0"/>
          <w:color w:val="auto"/>
          <w:spacing w:val="0"/>
          <w:sz w:val="32"/>
          <w:szCs w:val="32"/>
          <w:highlight w:val="none"/>
          <w:u w:val="none" w:color="auto"/>
          <w:lang w:val="en-US"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利用效率大幅提升，主要污染物排放总量持续减少，空气质量优良天数比率稳定在70%以上，城乡人居环境更加优美宜居，绿色发展优势持续巩固，生态惠民成效更加彰显。</w:t>
      </w:r>
    </w:p>
    <w:p w14:paraId="50CF57F5">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——民生福祉稳中提质。</w:t>
      </w:r>
      <w:r>
        <w:rPr>
          <w:rFonts w:hint="default" w:ascii="Times New Roman" w:hAnsi="Times New Roman" w:eastAsia="仿宋_GB2312" w:cs="Times New Roman"/>
          <w:b w:val="0"/>
          <w:bCs w:val="0"/>
          <w:color w:val="auto"/>
          <w:spacing w:val="0"/>
          <w:sz w:val="32"/>
          <w:szCs w:val="32"/>
          <w:highlight w:val="none"/>
          <w:u w:val="none" w:color="auto"/>
          <w:lang w:val="en-US" w:eastAsia="zh-CN"/>
        </w:rPr>
        <w:t>高质量就业更加充分，居民人均可支配收入</w:t>
      </w:r>
      <w:r>
        <w:rPr>
          <w:rFonts w:hint="default" w:ascii="Times New Roman" w:hAnsi="Times New Roman" w:cs="Times New Roman"/>
          <w:b w:val="0"/>
          <w:bCs w:val="0"/>
          <w:color w:val="auto"/>
          <w:spacing w:val="0"/>
          <w:sz w:val="32"/>
          <w:szCs w:val="32"/>
          <w:highlight w:val="none"/>
          <w:u w:val="none" w:color="auto"/>
          <w:lang w:val="en-US" w:eastAsia="zh-CN"/>
        </w:rPr>
        <w:t>和经济增长基本同步，</w:t>
      </w:r>
      <w:r>
        <w:rPr>
          <w:rFonts w:hint="default" w:ascii="Times New Roman" w:hAnsi="Times New Roman" w:eastAsia="仿宋_GB2312" w:cs="Times New Roman"/>
          <w:b w:val="0"/>
          <w:bCs w:val="0"/>
          <w:color w:val="auto"/>
          <w:spacing w:val="0"/>
          <w:sz w:val="32"/>
          <w:szCs w:val="32"/>
          <w:highlight w:val="none"/>
          <w:u w:val="none" w:color="auto"/>
          <w:lang w:val="en-US" w:eastAsia="zh-CN"/>
        </w:rPr>
        <w:t>中等收入群体稳步扩大。覆盖全民、城乡统筹、公平统一、可持续的多层次社会保障体系更加健全，基本公共服务均等化水平明显提升。</w:t>
      </w:r>
    </w:p>
    <w:p w14:paraId="3AC86C66">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——安全发展根基更加牢固。</w:t>
      </w:r>
      <w:r>
        <w:rPr>
          <w:rFonts w:hint="default" w:ascii="Times New Roman" w:hAnsi="Times New Roman" w:eastAsia="仿宋_GB2312" w:cs="Times New Roman"/>
          <w:b w:val="0"/>
          <w:bCs w:val="0"/>
          <w:color w:val="auto"/>
          <w:spacing w:val="0"/>
          <w:sz w:val="32"/>
          <w:szCs w:val="32"/>
          <w:highlight w:val="none"/>
          <w:u w:val="none" w:color="auto"/>
          <w:lang w:val="en-US" w:eastAsia="zh-CN"/>
        </w:rPr>
        <w:t>防范化解重大风险能力显著增强，突发公共事件应急处置能力不断提高。政治安全、经济安全、社会安全、生态安全等各领域安全防线全面筑牢，社会治理现代化水平持续提升，社会大局保持长期和谐稳定。</w:t>
      </w:r>
    </w:p>
    <w:p w14:paraId="17F02D6D">
      <w:pPr>
        <w:spacing w:line="240" w:lineRule="auto"/>
        <w:ind w:firstLine="632" w:firstLineChars="200"/>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sz w:val="32"/>
          <w:szCs w:val="32"/>
          <w:highlight w:val="none"/>
          <w:u w:val="none" w:color="auto"/>
          <w:lang w:val="en-US" w:eastAsia="zh-CN"/>
        </w:rPr>
        <w:t>展望2035年，全区经济实力、科技实力、综合竞争力大幅跃升，经济高质量发展迈上新台阶，基本建成新时代社会主义现代化强区；基本实现治理体系和治理能力现代化，建成更高水平的法治定陶、平安定陶、诚信定陶；城区文化软实力全面增强，人民素质和社会文明程度达到新高度，率先建成文化强区、教育强区、健康强区；绿色生产生活方式广泛形成，生态环境质量、绿色发展水平处于全市前列；人的全面发展、共同富裕取得实质性重大进展，基本公共服务实现均等化，</w:t>
      </w:r>
      <w:r>
        <w:rPr>
          <w:rFonts w:hint="eastAsia" w:ascii="Times New Roman" w:hAnsi="Times New Roman" w:cs="Times New Roman"/>
          <w:b w:val="0"/>
          <w:bCs w:val="0"/>
          <w:color w:val="auto"/>
          <w:spacing w:val="0"/>
          <w:sz w:val="32"/>
          <w:szCs w:val="32"/>
          <w:highlight w:val="none"/>
          <w:u w:val="none" w:color="auto"/>
          <w:lang w:val="en-US" w:eastAsia="zh-CN"/>
        </w:rPr>
        <w:t>全体</w:t>
      </w:r>
      <w:r>
        <w:rPr>
          <w:rFonts w:hint="default" w:ascii="Times New Roman" w:hAnsi="Times New Roman" w:eastAsia="仿宋_GB2312" w:cs="Times New Roman"/>
          <w:b w:val="0"/>
          <w:bCs w:val="0"/>
          <w:color w:val="auto"/>
          <w:spacing w:val="0"/>
          <w:sz w:val="32"/>
          <w:szCs w:val="32"/>
          <w:highlight w:val="none"/>
          <w:u w:val="none" w:color="auto"/>
          <w:lang w:val="en-US" w:eastAsia="zh-CN"/>
        </w:rPr>
        <w:t>人民充分共享现代化建设丰硕成果。</w:t>
      </w:r>
    </w:p>
    <w:p w14:paraId="2E7E3963">
      <w:pPr>
        <w:jc w:val="center"/>
        <w:rPr>
          <w:rFonts w:hint="default" w:ascii="Times New Roman" w:hAnsi="Times New Roman" w:eastAsia="黑体" w:cs="Times New Roman"/>
          <w:color w:val="auto"/>
          <w:spacing w:val="0"/>
          <w:sz w:val="32"/>
          <w:szCs w:val="32"/>
          <w:highlight w:val="none"/>
          <w:u w:val="none" w:color="auto"/>
          <w:lang w:val="en-US" w:eastAsia="zh-CN"/>
        </w:rPr>
      </w:pPr>
      <w:bookmarkStart w:id="25" w:name="_Toc12701"/>
      <w:bookmarkStart w:id="26" w:name="_Toc31427"/>
      <w:r>
        <w:rPr>
          <w:rFonts w:hint="default" w:ascii="Times New Roman" w:hAnsi="Times New Roman" w:eastAsia="黑体" w:cs="Times New Roman"/>
          <w:color w:val="auto"/>
          <w:spacing w:val="0"/>
          <w:sz w:val="32"/>
          <w:szCs w:val="32"/>
          <w:highlight w:val="none"/>
          <w:u w:val="none" w:color="auto"/>
          <w:lang w:val="en-US" w:eastAsia="zh-CN"/>
        </w:rPr>
        <w:t>专栏1</w:t>
      </w:r>
      <w:r>
        <w:rPr>
          <w:rFonts w:hint="eastAsia" w:ascii="Times New Roman" w:hAnsi="Times New Roman" w:eastAsia="黑体" w:cs="Times New Roman"/>
          <w:color w:val="auto"/>
          <w:spacing w:val="0"/>
          <w:sz w:val="32"/>
          <w:szCs w:val="32"/>
          <w:highlight w:val="none"/>
          <w:u w:val="none" w:color="auto"/>
          <w:lang w:val="en-US" w:eastAsia="zh-CN"/>
        </w:rPr>
        <w:t xml:space="preserve"> </w:t>
      </w:r>
      <w:r>
        <w:rPr>
          <w:rFonts w:hint="default" w:ascii="Times New Roman" w:hAnsi="Times New Roman" w:eastAsia="黑体" w:cs="Times New Roman"/>
          <w:color w:val="auto"/>
          <w:spacing w:val="0"/>
          <w:sz w:val="32"/>
          <w:szCs w:val="32"/>
          <w:highlight w:val="none"/>
          <w:u w:val="none" w:color="auto"/>
          <w:lang w:val="en-US" w:eastAsia="zh-CN"/>
        </w:rPr>
        <w:t>“十五五”时期定陶区经济社会发展主要指标</w:t>
      </w:r>
    </w:p>
    <w:tbl>
      <w:tblPr>
        <w:tblStyle w:val="16"/>
        <w:tblW w:w="54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785"/>
        <w:gridCol w:w="2648"/>
        <w:gridCol w:w="907"/>
        <w:gridCol w:w="1320"/>
        <w:gridCol w:w="1305"/>
        <w:gridCol w:w="1104"/>
      </w:tblGrid>
      <w:tr w14:paraId="440D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blHeader/>
          <w:jc w:val="center"/>
        </w:trPr>
        <w:tc>
          <w:tcPr>
            <w:tcW w:w="338" w:type="pct"/>
            <w:noWrap w:val="0"/>
            <w:tcMar>
              <w:left w:w="28" w:type="dxa"/>
              <w:right w:w="28" w:type="dxa"/>
            </w:tcMar>
            <w:vAlign w:val="center"/>
          </w:tcPr>
          <w:p w14:paraId="683D793C">
            <w:pPr>
              <w:keepNext w:val="0"/>
              <w:keepLines w:val="0"/>
              <w:pageBreakBefore w:val="0"/>
              <w:widowControl w:val="0"/>
              <w:shd w:val="clear"/>
              <w:tabs>
                <w:tab w:val="left" w:pos="200"/>
              </w:tabs>
              <w:kinsoku/>
              <w:wordWrap/>
              <w:topLinePunct w:val="0"/>
              <w:autoSpaceDE/>
              <w:autoSpaceDN/>
              <w:bidi w:val="0"/>
              <w:adjustRightInd w:val="0"/>
              <w:snapToGrid w:val="0"/>
              <w:spacing w:line="0" w:lineRule="atLeast"/>
              <w:ind w:firstLine="0"/>
              <w:jc w:val="center"/>
              <w:textAlignment w:val="baseline"/>
              <w:rPr>
                <w:rFonts w:hint="eastAsia" w:ascii="黑体" w:hAnsi="黑体" w:eastAsia="黑体" w:cs="黑体"/>
                <w:color w:val="auto"/>
                <w:spacing w:val="0"/>
                <w:kern w:val="2"/>
                <w:sz w:val="24"/>
                <w:szCs w:val="24"/>
                <w:highlight w:val="none"/>
                <w:u w:val="none" w:color="auto"/>
                <w:lang w:val="en-US" w:eastAsia="zh-CN"/>
              </w:rPr>
            </w:pPr>
            <w:r>
              <w:rPr>
                <w:rFonts w:hint="eastAsia" w:ascii="黑体" w:hAnsi="黑体" w:eastAsia="黑体" w:cs="黑体"/>
                <w:color w:val="auto"/>
                <w:spacing w:val="0"/>
                <w:kern w:val="2"/>
                <w:sz w:val="24"/>
                <w:szCs w:val="24"/>
                <w:highlight w:val="none"/>
                <w:u w:val="none" w:color="auto"/>
                <w:lang w:eastAsia="zh-CN"/>
              </w:rPr>
              <w:t>类别</w:t>
            </w:r>
          </w:p>
        </w:tc>
        <w:tc>
          <w:tcPr>
            <w:tcW w:w="2278" w:type="pct"/>
            <w:gridSpan w:val="2"/>
            <w:noWrap w:val="0"/>
            <w:tcMar>
              <w:left w:w="28" w:type="dxa"/>
              <w:right w:w="28" w:type="dxa"/>
            </w:tcMar>
            <w:vAlign w:val="center"/>
          </w:tcPr>
          <w:p w14:paraId="3FCC3676">
            <w:pPr>
              <w:keepNext w:val="0"/>
              <w:keepLines w:val="0"/>
              <w:pageBreakBefore w:val="0"/>
              <w:widowControl w:val="0"/>
              <w:shd w:val="clear"/>
              <w:kinsoku/>
              <w:wordWrap/>
              <w:topLinePunct w:val="0"/>
              <w:autoSpaceDE/>
              <w:autoSpaceDN/>
              <w:bidi w:val="0"/>
              <w:adjustRightInd w:val="0"/>
              <w:snapToGrid w:val="0"/>
              <w:spacing w:line="0" w:lineRule="atLeast"/>
              <w:ind w:firstLine="0"/>
              <w:jc w:val="center"/>
              <w:textAlignment w:val="baseline"/>
              <w:rPr>
                <w:rFonts w:hint="eastAsia" w:ascii="黑体" w:hAnsi="黑体" w:eastAsia="黑体" w:cs="黑体"/>
                <w:color w:val="auto"/>
                <w:spacing w:val="0"/>
                <w:kern w:val="2"/>
                <w:sz w:val="24"/>
                <w:szCs w:val="24"/>
                <w:highlight w:val="none"/>
                <w:u w:val="none" w:color="auto"/>
              </w:rPr>
            </w:pPr>
            <w:r>
              <w:rPr>
                <w:rFonts w:hint="eastAsia" w:ascii="黑体" w:hAnsi="黑体" w:eastAsia="黑体" w:cs="黑体"/>
                <w:color w:val="auto"/>
                <w:spacing w:val="0"/>
                <w:kern w:val="2"/>
                <w:sz w:val="24"/>
                <w:szCs w:val="24"/>
                <w:highlight w:val="none"/>
                <w:u w:val="none" w:color="auto"/>
              </w:rPr>
              <w:t>指标</w:t>
            </w:r>
          </w:p>
        </w:tc>
        <w:tc>
          <w:tcPr>
            <w:tcW w:w="466" w:type="pct"/>
            <w:noWrap w:val="0"/>
            <w:tcMar>
              <w:left w:w="28" w:type="dxa"/>
              <w:right w:w="28" w:type="dxa"/>
            </w:tcMar>
            <w:vAlign w:val="center"/>
          </w:tcPr>
          <w:p w14:paraId="64CE75E1">
            <w:pPr>
              <w:keepNext w:val="0"/>
              <w:keepLines w:val="0"/>
              <w:pageBreakBefore w:val="0"/>
              <w:widowControl w:val="0"/>
              <w:shd w:val="clear"/>
              <w:kinsoku/>
              <w:wordWrap/>
              <w:topLinePunct w:val="0"/>
              <w:autoSpaceDE/>
              <w:autoSpaceDN/>
              <w:bidi w:val="0"/>
              <w:adjustRightInd w:val="0"/>
              <w:snapToGrid w:val="0"/>
              <w:spacing w:line="0" w:lineRule="atLeast"/>
              <w:ind w:firstLine="0"/>
              <w:jc w:val="center"/>
              <w:textAlignment w:val="baseline"/>
              <w:rPr>
                <w:rFonts w:hint="eastAsia" w:ascii="黑体" w:hAnsi="黑体" w:eastAsia="黑体" w:cs="黑体"/>
                <w:color w:val="auto"/>
                <w:spacing w:val="0"/>
                <w:kern w:val="2"/>
                <w:sz w:val="24"/>
                <w:szCs w:val="24"/>
                <w:highlight w:val="none"/>
                <w:u w:val="none" w:color="auto"/>
                <w:lang w:eastAsia="zh-CN"/>
              </w:rPr>
            </w:pPr>
            <w:r>
              <w:rPr>
                <w:rFonts w:hint="eastAsia" w:ascii="黑体" w:hAnsi="黑体" w:eastAsia="黑体" w:cs="黑体"/>
                <w:color w:val="auto"/>
                <w:spacing w:val="0"/>
                <w:kern w:val="2"/>
                <w:sz w:val="24"/>
                <w:szCs w:val="24"/>
                <w:highlight w:val="none"/>
                <w:u w:val="none" w:color="auto"/>
              </w:rPr>
              <w:t>20</w:t>
            </w:r>
            <w:r>
              <w:rPr>
                <w:rFonts w:hint="eastAsia" w:ascii="黑体" w:hAnsi="黑体" w:eastAsia="黑体" w:cs="黑体"/>
                <w:color w:val="auto"/>
                <w:spacing w:val="0"/>
                <w:kern w:val="2"/>
                <w:sz w:val="24"/>
                <w:szCs w:val="24"/>
                <w:highlight w:val="none"/>
                <w:u w:val="none" w:color="auto"/>
                <w:lang w:val="en-US" w:eastAsia="zh-CN"/>
              </w:rPr>
              <w:t>25</w:t>
            </w:r>
            <w:r>
              <w:rPr>
                <w:rFonts w:hint="eastAsia" w:ascii="黑体" w:hAnsi="黑体" w:eastAsia="黑体" w:cs="黑体"/>
                <w:color w:val="auto"/>
                <w:spacing w:val="0"/>
                <w:kern w:val="2"/>
                <w:sz w:val="24"/>
                <w:szCs w:val="24"/>
                <w:highlight w:val="none"/>
                <w:u w:val="none" w:color="auto"/>
              </w:rPr>
              <w:t>年</w:t>
            </w:r>
          </w:p>
        </w:tc>
        <w:tc>
          <w:tcPr>
            <w:tcW w:w="678" w:type="pct"/>
            <w:noWrap w:val="0"/>
            <w:tcMar>
              <w:left w:w="28" w:type="dxa"/>
              <w:right w:w="28" w:type="dxa"/>
            </w:tcMar>
            <w:vAlign w:val="center"/>
          </w:tcPr>
          <w:p w14:paraId="6DD7D01D">
            <w:pPr>
              <w:keepNext w:val="0"/>
              <w:keepLines w:val="0"/>
              <w:pageBreakBefore w:val="0"/>
              <w:widowControl w:val="0"/>
              <w:shd w:val="clear"/>
              <w:kinsoku/>
              <w:wordWrap/>
              <w:topLinePunct w:val="0"/>
              <w:autoSpaceDE/>
              <w:autoSpaceDN/>
              <w:bidi w:val="0"/>
              <w:adjustRightInd w:val="0"/>
              <w:snapToGrid w:val="0"/>
              <w:spacing w:line="0" w:lineRule="atLeast"/>
              <w:ind w:firstLine="0"/>
              <w:jc w:val="center"/>
              <w:textAlignment w:val="baseline"/>
              <w:rPr>
                <w:rFonts w:hint="eastAsia" w:ascii="黑体" w:hAnsi="黑体" w:eastAsia="黑体" w:cs="黑体"/>
                <w:color w:val="auto"/>
                <w:spacing w:val="0"/>
                <w:kern w:val="2"/>
                <w:sz w:val="24"/>
                <w:szCs w:val="24"/>
                <w:highlight w:val="none"/>
                <w:u w:val="none" w:color="auto"/>
                <w:lang w:eastAsia="zh-CN"/>
              </w:rPr>
            </w:pPr>
            <w:r>
              <w:rPr>
                <w:rFonts w:hint="eastAsia" w:ascii="黑体" w:hAnsi="黑体" w:eastAsia="黑体" w:cs="黑体"/>
                <w:color w:val="auto"/>
                <w:spacing w:val="0"/>
                <w:kern w:val="2"/>
                <w:sz w:val="24"/>
                <w:szCs w:val="24"/>
                <w:highlight w:val="none"/>
                <w:u w:val="none" w:color="auto"/>
              </w:rPr>
              <w:t>20</w:t>
            </w:r>
            <w:r>
              <w:rPr>
                <w:rFonts w:hint="eastAsia" w:ascii="黑体" w:hAnsi="黑体" w:eastAsia="黑体" w:cs="黑体"/>
                <w:color w:val="auto"/>
                <w:spacing w:val="0"/>
                <w:kern w:val="2"/>
                <w:sz w:val="24"/>
                <w:szCs w:val="24"/>
                <w:highlight w:val="none"/>
                <w:u w:val="none" w:color="auto"/>
                <w:lang w:val="en-US" w:eastAsia="zh-CN"/>
              </w:rPr>
              <w:t>30</w:t>
            </w:r>
            <w:r>
              <w:rPr>
                <w:rFonts w:hint="eastAsia" w:ascii="黑体" w:hAnsi="黑体" w:eastAsia="黑体" w:cs="黑体"/>
                <w:color w:val="auto"/>
                <w:spacing w:val="0"/>
                <w:kern w:val="2"/>
                <w:sz w:val="24"/>
                <w:szCs w:val="24"/>
                <w:highlight w:val="none"/>
                <w:u w:val="none" w:color="auto"/>
              </w:rPr>
              <w:t>年</w:t>
            </w:r>
          </w:p>
        </w:tc>
        <w:tc>
          <w:tcPr>
            <w:tcW w:w="670" w:type="pct"/>
            <w:noWrap w:val="0"/>
            <w:tcMar>
              <w:left w:w="28" w:type="dxa"/>
              <w:right w:w="28" w:type="dxa"/>
            </w:tcMar>
            <w:vAlign w:val="center"/>
          </w:tcPr>
          <w:p w14:paraId="48A4DB9F">
            <w:pPr>
              <w:keepNext w:val="0"/>
              <w:keepLines w:val="0"/>
              <w:pageBreakBefore w:val="0"/>
              <w:widowControl w:val="0"/>
              <w:shd w:val="clear"/>
              <w:kinsoku/>
              <w:wordWrap/>
              <w:overflowPunct/>
              <w:topLinePunct w:val="0"/>
              <w:autoSpaceDE/>
              <w:autoSpaceDN/>
              <w:bidi w:val="0"/>
              <w:adjustRightInd w:val="0"/>
              <w:snapToGrid w:val="0"/>
              <w:spacing w:line="0" w:lineRule="atLeast"/>
              <w:ind w:left="-158" w:leftChars="-50" w:right="-158" w:rightChars="-50" w:firstLine="0"/>
              <w:jc w:val="center"/>
              <w:textAlignment w:val="baseline"/>
              <w:rPr>
                <w:rFonts w:hint="eastAsia" w:ascii="黑体" w:hAnsi="黑体" w:eastAsia="黑体" w:cs="黑体"/>
                <w:color w:val="auto"/>
                <w:spacing w:val="0"/>
                <w:kern w:val="2"/>
                <w:sz w:val="24"/>
                <w:szCs w:val="24"/>
                <w:highlight w:val="none"/>
                <w:u w:val="none" w:color="auto"/>
                <w:lang w:val="en-US" w:eastAsia="zh-CN"/>
              </w:rPr>
            </w:pPr>
            <w:r>
              <w:rPr>
                <w:rFonts w:hint="eastAsia" w:ascii="黑体" w:hAnsi="黑体" w:eastAsia="黑体" w:cs="黑体"/>
                <w:color w:val="auto"/>
                <w:spacing w:val="0"/>
                <w:kern w:val="2"/>
                <w:sz w:val="24"/>
                <w:szCs w:val="24"/>
                <w:highlight w:val="none"/>
                <w:u w:val="none" w:color="auto"/>
                <w:lang w:eastAsia="zh-CN"/>
              </w:rPr>
              <w:t>年均</w:t>
            </w:r>
            <w:r>
              <w:rPr>
                <w:rFonts w:hint="eastAsia" w:ascii="黑体" w:hAnsi="黑体" w:eastAsia="黑体" w:cs="黑体"/>
                <w:color w:val="auto"/>
                <w:spacing w:val="0"/>
                <w:kern w:val="2"/>
                <w:sz w:val="24"/>
                <w:szCs w:val="24"/>
                <w:highlight w:val="none"/>
                <w:u w:val="none" w:color="auto"/>
                <w:lang w:val="en-US" w:eastAsia="zh-CN"/>
              </w:rPr>
              <w:t>/</w:t>
            </w:r>
          </w:p>
          <w:p w14:paraId="2BADD4B6">
            <w:pPr>
              <w:keepNext w:val="0"/>
              <w:keepLines w:val="0"/>
              <w:pageBreakBefore w:val="0"/>
              <w:widowControl w:val="0"/>
              <w:shd w:val="clear"/>
              <w:kinsoku/>
              <w:wordWrap/>
              <w:overflowPunct/>
              <w:topLinePunct w:val="0"/>
              <w:autoSpaceDE/>
              <w:autoSpaceDN/>
              <w:bidi w:val="0"/>
              <w:adjustRightInd w:val="0"/>
              <w:snapToGrid w:val="0"/>
              <w:spacing w:line="0" w:lineRule="atLeast"/>
              <w:ind w:left="-158" w:leftChars="-50" w:right="-158" w:rightChars="-50" w:firstLine="0"/>
              <w:jc w:val="center"/>
              <w:textAlignment w:val="baseline"/>
              <w:rPr>
                <w:rFonts w:hint="eastAsia" w:ascii="黑体" w:hAnsi="黑体" w:eastAsia="黑体" w:cs="黑体"/>
                <w:color w:val="auto"/>
                <w:spacing w:val="0"/>
                <w:kern w:val="2"/>
                <w:sz w:val="24"/>
                <w:szCs w:val="24"/>
                <w:highlight w:val="none"/>
                <w:u w:val="none" w:color="auto"/>
                <w:lang w:val="en-US" w:eastAsia="zh-CN"/>
              </w:rPr>
            </w:pPr>
            <w:r>
              <w:rPr>
                <w:rFonts w:hint="eastAsia" w:ascii="黑体" w:hAnsi="黑体" w:eastAsia="黑体" w:cs="黑体"/>
                <w:b w:val="0"/>
                <w:bCs w:val="0"/>
                <w:color w:val="auto"/>
                <w:spacing w:val="0"/>
                <w:kern w:val="2"/>
                <w:sz w:val="24"/>
                <w:szCs w:val="24"/>
                <w:highlight w:val="none"/>
                <w:u w:val="none" w:color="auto"/>
                <w:lang w:val="en-US" w:eastAsia="zh-CN"/>
              </w:rPr>
              <w:t>〔累计〕</w:t>
            </w:r>
          </w:p>
        </w:tc>
        <w:tc>
          <w:tcPr>
            <w:tcW w:w="567" w:type="pct"/>
            <w:noWrap w:val="0"/>
            <w:tcMar>
              <w:left w:w="28" w:type="dxa"/>
              <w:right w:w="28" w:type="dxa"/>
            </w:tcMar>
            <w:vAlign w:val="center"/>
          </w:tcPr>
          <w:p w14:paraId="1DE04B94">
            <w:pPr>
              <w:keepNext w:val="0"/>
              <w:keepLines w:val="0"/>
              <w:pageBreakBefore w:val="0"/>
              <w:widowControl w:val="0"/>
              <w:shd w:val="clear"/>
              <w:kinsoku/>
              <w:wordWrap/>
              <w:topLinePunct w:val="0"/>
              <w:autoSpaceDE/>
              <w:autoSpaceDN/>
              <w:bidi w:val="0"/>
              <w:adjustRightInd w:val="0"/>
              <w:snapToGrid w:val="0"/>
              <w:spacing w:line="0" w:lineRule="atLeast"/>
              <w:ind w:firstLine="0"/>
              <w:jc w:val="center"/>
              <w:textAlignment w:val="baseline"/>
              <w:rPr>
                <w:rFonts w:hint="eastAsia" w:ascii="黑体" w:hAnsi="黑体" w:eastAsia="黑体" w:cs="黑体"/>
                <w:color w:val="auto"/>
                <w:spacing w:val="0"/>
                <w:kern w:val="2"/>
                <w:sz w:val="24"/>
                <w:szCs w:val="24"/>
                <w:highlight w:val="none"/>
                <w:u w:val="none" w:color="auto"/>
              </w:rPr>
            </w:pPr>
            <w:r>
              <w:rPr>
                <w:rFonts w:hint="eastAsia" w:ascii="黑体" w:hAnsi="黑体" w:eastAsia="黑体" w:cs="黑体"/>
                <w:color w:val="auto"/>
                <w:spacing w:val="0"/>
                <w:kern w:val="2"/>
                <w:sz w:val="24"/>
                <w:szCs w:val="24"/>
                <w:highlight w:val="none"/>
                <w:u w:val="none" w:color="auto"/>
              </w:rPr>
              <w:t>属性</w:t>
            </w:r>
          </w:p>
        </w:tc>
      </w:tr>
      <w:tr w14:paraId="7E57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338" w:type="pct"/>
            <w:vMerge w:val="restart"/>
            <w:tcBorders>
              <w:left w:val="single" w:color="auto" w:sz="4" w:space="0"/>
            </w:tcBorders>
            <w:noWrap w:val="0"/>
            <w:tcMar>
              <w:left w:w="28" w:type="dxa"/>
              <w:right w:w="28" w:type="dxa"/>
            </w:tcMar>
            <w:vAlign w:val="center"/>
          </w:tcPr>
          <w:p w14:paraId="3D602A4B">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r>
              <w:rPr>
                <w:rFonts w:hint="default" w:ascii="Times New Roman" w:hAnsi="Times New Roman" w:eastAsia="仿宋_GB2312" w:cs="Times New Roman"/>
                <w:b w:val="0"/>
                <w:bCs w:val="0"/>
                <w:color w:val="auto"/>
                <w:spacing w:val="0"/>
                <w:kern w:val="2"/>
                <w:sz w:val="28"/>
                <w:szCs w:val="28"/>
                <w:highlight w:val="none"/>
                <w:u w:val="none" w:color="auto"/>
                <w:lang w:eastAsia="zh-CN"/>
              </w:rPr>
              <w:t>经济发展</w:t>
            </w:r>
          </w:p>
        </w:tc>
        <w:tc>
          <w:tcPr>
            <w:tcW w:w="2278" w:type="pct"/>
            <w:gridSpan w:val="2"/>
            <w:tcBorders>
              <w:left w:val="single" w:color="auto" w:sz="4" w:space="0"/>
            </w:tcBorders>
            <w:noWrap w:val="0"/>
            <w:tcMar>
              <w:left w:w="28" w:type="dxa"/>
              <w:right w:w="28" w:type="dxa"/>
            </w:tcMar>
            <w:vAlign w:val="center"/>
          </w:tcPr>
          <w:p w14:paraId="6492E683">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1.</w:t>
            </w:r>
            <w:r>
              <w:rPr>
                <w:rFonts w:hint="default" w:ascii="Times New Roman" w:hAnsi="Times New Roman" w:eastAsia="仿宋_GB2312" w:cs="Times New Roman"/>
                <w:color w:val="auto"/>
                <w:spacing w:val="0"/>
                <w:kern w:val="2"/>
                <w:sz w:val="28"/>
                <w:szCs w:val="28"/>
                <w:highlight w:val="none"/>
                <w:u w:val="none" w:color="auto"/>
              </w:rPr>
              <w:t>地区生产总值（GDP）增长</w:t>
            </w:r>
            <w:r>
              <w:rPr>
                <w:rFonts w:hint="default" w:ascii="Times New Roman" w:hAnsi="Times New Roman" w:eastAsia="仿宋_GB2312" w:cs="Times New Roman"/>
                <w:color w:val="auto"/>
                <w:spacing w:val="0"/>
                <w:kern w:val="2"/>
                <w:sz w:val="28"/>
                <w:szCs w:val="28"/>
                <w:highlight w:val="none"/>
                <w:u w:val="none" w:color="auto"/>
                <w:lang w:eastAsia="zh-CN"/>
              </w:rPr>
              <w:t>（</w:t>
            </w:r>
            <w:r>
              <w:rPr>
                <w:rFonts w:hint="default" w:ascii="Times New Roman" w:hAnsi="Times New Roman" w:eastAsia="仿宋_GB2312" w:cs="Times New Roman"/>
                <w:color w:val="auto"/>
                <w:spacing w:val="0"/>
                <w:kern w:val="2"/>
                <w:sz w:val="28"/>
                <w:szCs w:val="28"/>
                <w:highlight w:val="none"/>
                <w:u w:val="none" w:color="auto"/>
                <w:lang w:val="en-US" w:eastAsia="zh-CN"/>
              </w:rPr>
              <w:t>%</w:t>
            </w:r>
            <w:r>
              <w:rPr>
                <w:rFonts w:hint="default" w:ascii="Times New Roman" w:hAnsi="Times New Roman" w:eastAsia="仿宋_GB2312" w:cs="Times New Roman"/>
                <w:color w:val="auto"/>
                <w:spacing w:val="0"/>
                <w:kern w:val="2"/>
                <w:sz w:val="28"/>
                <w:szCs w:val="28"/>
                <w:highlight w:val="none"/>
                <w:u w:val="none" w:color="auto"/>
                <w:lang w:eastAsia="zh-CN"/>
              </w:rPr>
              <w:t>）</w:t>
            </w:r>
          </w:p>
        </w:tc>
        <w:tc>
          <w:tcPr>
            <w:tcW w:w="466" w:type="pct"/>
            <w:tcBorders>
              <w:left w:val="single" w:color="auto" w:sz="4" w:space="0"/>
            </w:tcBorders>
            <w:noWrap w:val="0"/>
            <w:tcMar>
              <w:left w:w="28" w:type="dxa"/>
              <w:right w:w="28" w:type="dxa"/>
            </w:tcMar>
            <w:vAlign w:val="center"/>
          </w:tcPr>
          <w:p w14:paraId="16B63B05">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eastAsia="zh-CN"/>
              </w:rPr>
              <w:t>—</w:t>
            </w:r>
          </w:p>
        </w:tc>
        <w:tc>
          <w:tcPr>
            <w:tcW w:w="678" w:type="pct"/>
            <w:tcBorders>
              <w:left w:val="single" w:color="auto" w:sz="4" w:space="0"/>
            </w:tcBorders>
            <w:noWrap w:val="0"/>
            <w:tcMar>
              <w:left w:w="28" w:type="dxa"/>
              <w:right w:w="28" w:type="dxa"/>
            </w:tcMar>
            <w:vAlign w:val="center"/>
          </w:tcPr>
          <w:p w14:paraId="6E876F05">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i w:val="0"/>
                <w:iCs w:val="0"/>
                <w:color w:val="auto"/>
                <w:sz w:val="28"/>
                <w:szCs w:val="28"/>
                <w:highlight w:val="none"/>
                <w:u w:val="none"/>
                <w:lang w:val="en-US" w:eastAsia="zh-CN"/>
              </w:rPr>
              <w:t>—</w:t>
            </w:r>
          </w:p>
        </w:tc>
        <w:tc>
          <w:tcPr>
            <w:tcW w:w="670" w:type="pct"/>
            <w:tcBorders>
              <w:left w:val="single" w:color="auto" w:sz="4" w:space="0"/>
            </w:tcBorders>
            <w:noWrap w:val="0"/>
            <w:tcMar>
              <w:left w:w="28" w:type="dxa"/>
              <w:right w:w="28" w:type="dxa"/>
            </w:tcMar>
            <w:vAlign w:val="center"/>
          </w:tcPr>
          <w:p w14:paraId="3C2D2756">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i w:val="0"/>
                <w:iCs w:val="0"/>
                <w:color w:val="auto"/>
                <w:sz w:val="28"/>
                <w:szCs w:val="28"/>
                <w:highlight w:val="none"/>
                <w:u w:val="none"/>
                <w:lang w:val="en-US" w:eastAsia="zh-CN"/>
              </w:rPr>
              <w:t>5以上</w:t>
            </w:r>
          </w:p>
        </w:tc>
        <w:tc>
          <w:tcPr>
            <w:tcW w:w="567" w:type="pct"/>
            <w:tcBorders>
              <w:left w:val="single" w:color="auto" w:sz="4" w:space="0"/>
            </w:tcBorders>
            <w:noWrap w:val="0"/>
            <w:tcMar>
              <w:left w:w="28" w:type="dxa"/>
              <w:right w:w="28" w:type="dxa"/>
            </w:tcMar>
            <w:vAlign w:val="center"/>
          </w:tcPr>
          <w:p w14:paraId="486F84E2">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6E7C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8" w:type="pct"/>
            <w:vMerge w:val="continue"/>
            <w:tcBorders>
              <w:left w:val="single" w:color="auto" w:sz="4" w:space="0"/>
            </w:tcBorders>
            <w:noWrap w:val="0"/>
            <w:tcMar>
              <w:left w:w="28" w:type="dxa"/>
              <w:right w:w="28" w:type="dxa"/>
            </w:tcMar>
            <w:vAlign w:val="center"/>
          </w:tcPr>
          <w:p w14:paraId="3279C322">
            <w:pPr>
              <w:keepNext w:val="0"/>
              <w:keepLines w:val="0"/>
              <w:pageBreakBefore w:val="0"/>
              <w:widowControl w:val="0"/>
              <w:numPr>
                <w:ilvl w:val="0"/>
                <w:numId w:val="0"/>
              </w:numPr>
              <w:shd w:val="clear"/>
              <w:kinsoku/>
              <w:wordWrap/>
              <w:overflowPunct w:val="0"/>
              <w:topLinePunct w:val="0"/>
              <w:autoSpaceDE/>
              <w:autoSpaceDN/>
              <w:bidi w:val="0"/>
              <w:adjustRightInd w:val="0"/>
              <w:snapToGrid w:val="0"/>
              <w:spacing w:line="0" w:lineRule="atLeast"/>
              <w:jc w:val="both"/>
              <w:textAlignment w:val="baseline"/>
              <w:rPr>
                <w:rFonts w:hint="default" w:ascii="Times New Roman" w:hAnsi="Times New Roman"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547E490F">
            <w:pPr>
              <w:keepNext w:val="0"/>
              <w:keepLines w:val="0"/>
              <w:pageBreakBefore w:val="0"/>
              <w:widowControl w:val="0"/>
              <w:numPr>
                <w:ilvl w:val="0"/>
                <w:numId w:val="0"/>
              </w:numPr>
              <w:shd w:val="clear"/>
              <w:kinsoku/>
              <w:wordWrap/>
              <w:overflowPunct w:val="0"/>
              <w:topLinePunct w:val="0"/>
              <w:autoSpaceDE/>
              <w:autoSpaceDN/>
              <w:bidi w:val="0"/>
              <w:adjustRightInd w:val="0"/>
              <w:snapToGrid w:val="0"/>
              <w:spacing w:line="0" w:lineRule="atLeast"/>
              <w:jc w:val="both"/>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2.</w:t>
            </w:r>
            <w:r>
              <w:rPr>
                <w:rFonts w:hint="default" w:ascii="Times New Roman" w:hAnsi="Times New Roman" w:eastAsia="仿宋_GB2312" w:cs="Times New Roman"/>
                <w:color w:val="auto"/>
                <w:spacing w:val="0"/>
                <w:kern w:val="2"/>
                <w:sz w:val="28"/>
                <w:szCs w:val="28"/>
                <w:highlight w:val="none"/>
                <w:u w:val="none" w:color="auto"/>
              </w:rPr>
              <w:t>全员劳动生产率增长（%）</w:t>
            </w:r>
          </w:p>
        </w:tc>
        <w:tc>
          <w:tcPr>
            <w:tcW w:w="466" w:type="pct"/>
            <w:tcBorders>
              <w:left w:val="single" w:color="auto" w:sz="4" w:space="0"/>
            </w:tcBorders>
            <w:noWrap w:val="0"/>
            <w:tcMar>
              <w:left w:w="28" w:type="dxa"/>
              <w:right w:w="28" w:type="dxa"/>
            </w:tcMar>
            <w:vAlign w:val="center"/>
          </w:tcPr>
          <w:p w14:paraId="1B257F2E">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13</w:t>
            </w:r>
            <w:r>
              <w:rPr>
                <w:rFonts w:hint="eastAsia" w:ascii="Times New Roman" w:hAnsi="Times New Roman" w:cs="Times New Roman"/>
                <w:color w:val="auto"/>
                <w:spacing w:val="0"/>
                <w:kern w:val="2"/>
                <w:sz w:val="28"/>
                <w:szCs w:val="28"/>
                <w:highlight w:val="none"/>
                <w:u w:val="none" w:color="auto"/>
                <w:vertAlign w:val="superscript"/>
                <w:lang w:val="en-US" w:eastAsia="zh-CN"/>
              </w:rPr>
              <w:t>*</w:t>
            </w:r>
          </w:p>
        </w:tc>
        <w:tc>
          <w:tcPr>
            <w:tcW w:w="678" w:type="pct"/>
            <w:tcBorders>
              <w:left w:val="single" w:color="auto" w:sz="4" w:space="0"/>
            </w:tcBorders>
            <w:noWrap w:val="0"/>
            <w:tcMar>
              <w:left w:w="28" w:type="dxa"/>
              <w:right w:w="28" w:type="dxa"/>
            </w:tcMar>
            <w:vAlign w:val="center"/>
          </w:tcPr>
          <w:p w14:paraId="012C2D65">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cs="Times New Roman"/>
                <w:color w:val="auto"/>
                <w:spacing w:val="0"/>
                <w:kern w:val="2"/>
                <w:sz w:val="28"/>
                <w:szCs w:val="28"/>
                <w:highlight w:val="none"/>
                <w:u w:val="none" w:color="auto"/>
                <w:lang w:eastAsia="zh-CN"/>
              </w:rPr>
              <w:t>—</w:t>
            </w:r>
          </w:p>
        </w:tc>
        <w:tc>
          <w:tcPr>
            <w:tcW w:w="670" w:type="pct"/>
            <w:tcBorders>
              <w:left w:val="single" w:color="auto" w:sz="4" w:space="0"/>
            </w:tcBorders>
            <w:noWrap w:val="0"/>
            <w:tcMar>
              <w:left w:w="28" w:type="dxa"/>
              <w:right w:w="28" w:type="dxa"/>
            </w:tcMar>
            <w:vAlign w:val="center"/>
          </w:tcPr>
          <w:p w14:paraId="480FBB0C">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eastAsia" w:ascii="仿宋_GB2312" w:hAnsi="仿宋_GB2312" w:eastAsia="仿宋_GB2312" w:cs="仿宋_GB2312"/>
                <w:color w:val="auto"/>
                <w:spacing w:val="0"/>
                <w:kern w:val="2"/>
                <w:sz w:val="28"/>
                <w:szCs w:val="28"/>
                <w:highlight w:val="none"/>
                <w:u w:val="none" w:color="auto"/>
                <w:lang w:val="en-US" w:eastAsia="zh-CN"/>
              </w:rPr>
            </w:pPr>
            <w:r>
              <w:rPr>
                <w:rFonts w:hint="eastAsia" w:ascii="仿宋_GB2312" w:hAnsi="仿宋_GB2312" w:eastAsia="仿宋_GB2312" w:cs="仿宋_GB2312"/>
                <w:color w:val="auto"/>
                <w:spacing w:val="0"/>
                <w:kern w:val="2"/>
                <w:sz w:val="28"/>
                <w:szCs w:val="28"/>
                <w:highlight w:val="none"/>
                <w:u w:val="none" w:color="auto"/>
                <w:lang w:val="en-US" w:eastAsia="zh-CN"/>
              </w:rPr>
              <w:t>高于GDP</w:t>
            </w:r>
          </w:p>
          <w:p w14:paraId="067F4A98">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仿宋_GB2312" w:hAnsi="仿宋_GB2312" w:eastAsia="仿宋_GB2312" w:cs="仿宋_GB2312"/>
                <w:color w:val="auto"/>
                <w:spacing w:val="0"/>
                <w:kern w:val="2"/>
                <w:sz w:val="28"/>
                <w:szCs w:val="28"/>
                <w:highlight w:val="none"/>
                <w:u w:val="none" w:color="auto"/>
                <w:lang w:val="en-US" w:eastAsia="zh-CN"/>
              </w:rPr>
              <w:t>增长</w:t>
            </w:r>
          </w:p>
        </w:tc>
        <w:tc>
          <w:tcPr>
            <w:tcW w:w="567" w:type="pct"/>
            <w:tcBorders>
              <w:left w:val="single" w:color="auto" w:sz="4" w:space="0"/>
            </w:tcBorders>
            <w:noWrap w:val="0"/>
            <w:tcMar>
              <w:left w:w="28" w:type="dxa"/>
              <w:right w:w="28" w:type="dxa"/>
            </w:tcMar>
            <w:vAlign w:val="center"/>
          </w:tcPr>
          <w:p w14:paraId="4C074D2D">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09D9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38" w:type="pct"/>
            <w:vMerge w:val="continue"/>
            <w:tcBorders>
              <w:left w:val="single" w:color="auto" w:sz="4" w:space="0"/>
            </w:tcBorders>
            <w:noWrap w:val="0"/>
            <w:tcMar>
              <w:left w:w="28" w:type="dxa"/>
              <w:right w:w="28" w:type="dxa"/>
            </w:tcMar>
            <w:vAlign w:val="center"/>
          </w:tcPr>
          <w:p w14:paraId="0D1D96E7">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12D06124">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3.</w:t>
            </w:r>
            <w:r>
              <w:rPr>
                <w:rFonts w:hint="default" w:ascii="Times New Roman" w:hAnsi="Times New Roman" w:eastAsia="仿宋_GB2312" w:cs="Times New Roman"/>
                <w:color w:val="auto"/>
                <w:spacing w:val="0"/>
                <w:kern w:val="2"/>
                <w:sz w:val="28"/>
                <w:szCs w:val="28"/>
                <w:highlight w:val="none"/>
                <w:u w:val="none" w:color="auto"/>
              </w:rPr>
              <w:t>常住人口城镇化率</w:t>
            </w:r>
            <w:r>
              <w:rPr>
                <w:rFonts w:hint="default" w:ascii="Times New Roman" w:hAnsi="Times New Roman" w:eastAsia="仿宋_GB2312" w:cs="Times New Roman"/>
                <w:color w:val="auto"/>
                <w:spacing w:val="0"/>
                <w:kern w:val="2"/>
                <w:sz w:val="28"/>
                <w:szCs w:val="28"/>
                <w:highlight w:val="none"/>
                <w:u w:val="none" w:color="auto"/>
                <w:lang w:eastAsia="zh-CN"/>
              </w:rPr>
              <w:t>（</w:t>
            </w:r>
            <w:r>
              <w:rPr>
                <w:rFonts w:hint="default" w:ascii="Times New Roman" w:hAnsi="Times New Roman" w:eastAsia="仿宋_GB2312" w:cs="Times New Roman"/>
                <w:color w:val="auto"/>
                <w:spacing w:val="0"/>
                <w:kern w:val="2"/>
                <w:sz w:val="28"/>
                <w:szCs w:val="28"/>
                <w:highlight w:val="none"/>
                <w:u w:val="none" w:color="auto"/>
                <w:lang w:val="en-US" w:eastAsia="zh-CN"/>
              </w:rPr>
              <w:t>%</w:t>
            </w:r>
            <w:r>
              <w:rPr>
                <w:rFonts w:hint="default" w:ascii="Times New Roman" w:hAnsi="Times New Roman" w:eastAsia="仿宋_GB2312" w:cs="Times New Roman"/>
                <w:color w:val="auto"/>
                <w:spacing w:val="0"/>
                <w:kern w:val="2"/>
                <w:sz w:val="28"/>
                <w:szCs w:val="28"/>
                <w:highlight w:val="none"/>
                <w:u w:val="none" w:color="auto"/>
                <w:lang w:eastAsia="zh-CN"/>
              </w:rPr>
              <w:t>）</w:t>
            </w:r>
          </w:p>
        </w:tc>
        <w:tc>
          <w:tcPr>
            <w:tcW w:w="466" w:type="pct"/>
            <w:tcBorders>
              <w:left w:val="single" w:color="auto" w:sz="4" w:space="0"/>
            </w:tcBorders>
            <w:noWrap w:val="0"/>
            <w:tcMar>
              <w:left w:w="28" w:type="dxa"/>
              <w:right w:w="28" w:type="dxa"/>
            </w:tcMar>
            <w:vAlign w:val="center"/>
          </w:tcPr>
          <w:p w14:paraId="5BC2292A">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i w:val="0"/>
                <w:iCs w:val="0"/>
                <w:color w:val="auto"/>
                <w:sz w:val="28"/>
                <w:szCs w:val="28"/>
                <w:highlight w:val="none"/>
                <w:u w:val="none"/>
                <w:lang w:val="en-US" w:eastAsia="zh-CN"/>
              </w:rPr>
              <w:t>53</w:t>
            </w:r>
            <w:r>
              <w:rPr>
                <w:rFonts w:hint="eastAsia" w:ascii="Times New Roman" w:hAnsi="Times New Roman" w:cs="Times New Roman"/>
                <w:i w:val="0"/>
                <w:iCs w:val="0"/>
                <w:color w:val="auto"/>
                <w:sz w:val="28"/>
                <w:szCs w:val="28"/>
                <w:highlight w:val="none"/>
                <w:u w:val="none"/>
                <w:lang w:val="en-US" w:eastAsia="zh-CN"/>
              </w:rPr>
              <w:t>.48</w:t>
            </w:r>
          </w:p>
        </w:tc>
        <w:tc>
          <w:tcPr>
            <w:tcW w:w="678" w:type="pct"/>
            <w:tcBorders>
              <w:left w:val="single" w:color="auto" w:sz="4" w:space="0"/>
            </w:tcBorders>
            <w:noWrap w:val="0"/>
            <w:tcMar>
              <w:left w:w="28" w:type="dxa"/>
              <w:right w:w="28" w:type="dxa"/>
            </w:tcMar>
            <w:vAlign w:val="center"/>
          </w:tcPr>
          <w:p w14:paraId="2EA509F5">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i w:val="0"/>
                <w:iCs w:val="0"/>
                <w:color w:val="auto"/>
                <w:sz w:val="28"/>
                <w:szCs w:val="28"/>
                <w:highlight w:val="none"/>
                <w:u w:val="none"/>
                <w:lang w:val="en-US" w:eastAsia="zh-CN"/>
              </w:rPr>
              <w:t>&gt;57</w:t>
            </w:r>
          </w:p>
        </w:tc>
        <w:tc>
          <w:tcPr>
            <w:tcW w:w="670" w:type="pct"/>
            <w:tcBorders>
              <w:left w:val="single" w:color="auto" w:sz="4" w:space="0"/>
            </w:tcBorders>
            <w:noWrap w:val="0"/>
            <w:tcMar>
              <w:left w:w="28" w:type="dxa"/>
              <w:right w:w="28" w:type="dxa"/>
            </w:tcMar>
            <w:vAlign w:val="center"/>
          </w:tcPr>
          <w:p w14:paraId="3CEBC863">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eastAsia="仿宋_GB2312" w:cs="Times New Roman"/>
                <w:i w:val="0"/>
                <w:iCs w:val="0"/>
                <w:color w:val="auto"/>
                <w:kern w:val="0"/>
                <w:sz w:val="28"/>
                <w:szCs w:val="28"/>
                <w:highlight w:val="none"/>
                <w:u w:val="none"/>
                <w:lang w:val="en-US" w:eastAsia="zh-CN" w:bidi="ar"/>
              </w:rPr>
              <w:t>—</w:t>
            </w:r>
          </w:p>
        </w:tc>
        <w:tc>
          <w:tcPr>
            <w:tcW w:w="567" w:type="pct"/>
            <w:tcBorders>
              <w:left w:val="single" w:color="auto" w:sz="4" w:space="0"/>
            </w:tcBorders>
            <w:noWrap w:val="0"/>
            <w:tcMar>
              <w:left w:w="28" w:type="dxa"/>
              <w:right w:w="28" w:type="dxa"/>
            </w:tcMar>
            <w:vAlign w:val="center"/>
          </w:tcPr>
          <w:p w14:paraId="32398B8A">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3B93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restart"/>
            <w:tcBorders>
              <w:left w:val="single" w:color="auto" w:sz="4" w:space="0"/>
            </w:tcBorders>
            <w:noWrap w:val="0"/>
            <w:tcMar>
              <w:left w:w="28" w:type="dxa"/>
              <w:right w:w="28" w:type="dxa"/>
            </w:tcMar>
            <w:vAlign w:val="center"/>
          </w:tcPr>
          <w:p w14:paraId="0AC36FF0">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r>
              <w:rPr>
                <w:rFonts w:hint="default" w:ascii="Times New Roman" w:hAnsi="Times New Roman" w:eastAsia="仿宋_GB2312" w:cs="Times New Roman"/>
                <w:b w:val="0"/>
                <w:bCs w:val="0"/>
                <w:color w:val="auto"/>
                <w:spacing w:val="0"/>
                <w:kern w:val="2"/>
                <w:sz w:val="28"/>
                <w:szCs w:val="28"/>
                <w:highlight w:val="none"/>
                <w:u w:val="none" w:color="auto"/>
                <w:lang w:eastAsia="zh-CN"/>
              </w:rPr>
              <w:t>创新驱动</w:t>
            </w:r>
          </w:p>
        </w:tc>
        <w:tc>
          <w:tcPr>
            <w:tcW w:w="2278" w:type="pct"/>
            <w:gridSpan w:val="2"/>
            <w:tcBorders>
              <w:left w:val="single" w:color="auto" w:sz="4" w:space="0"/>
            </w:tcBorders>
            <w:noWrap w:val="0"/>
            <w:tcMar>
              <w:left w:w="28" w:type="dxa"/>
              <w:right w:w="28" w:type="dxa"/>
            </w:tcMar>
            <w:vAlign w:val="center"/>
          </w:tcPr>
          <w:p w14:paraId="2DFDFDCD">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4.</w:t>
            </w:r>
            <w:r>
              <w:rPr>
                <w:rFonts w:hint="default" w:ascii="Times New Roman" w:hAnsi="Times New Roman" w:eastAsia="仿宋_GB2312" w:cs="Times New Roman"/>
                <w:color w:val="auto"/>
                <w:spacing w:val="0"/>
                <w:kern w:val="2"/>
                <w:sz w:val="28"/>
                <w:szCs w:val="28"/>
                <w:highlight w:val="none"/>
                <w:u w:val="none" w:color="auto"/>
              </w:rPr>
              <w:t>全社会研发经费投入增长（%）</w:t>
            </w:r>
          </w:p>
        </w:tc>
        <w:tc>
          <w:tcPr>
            <w:tcW w:w="466" w:type="pct"/>
            <w:tcBorders>
              <w:left w:val="single" w:color="auto" w:sz="4" w:space="0"/>
            </w:tcBorders>
            <w:noWrap w:val="0"/>
            <w:tcMar>
              <w:left w:w="28" w:type="dxa"/>
              <w:right w:w="28" w:type="dxa"/>
            </w:tcMar>
            <w:vAlign w:val="center"/>
          </w:tcPr>
          <w:p w14:paraId="7EF49CEA">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12.14</w:t>
            </w:r>
            <w:r>
              <w:rPr>
                <w:rFonts w:hint="eastAsia" w:ascii="Times New Roman" w:hAnsi="Times New Roman" w:cs="Times New Roman"/>
                <w:color w:val="auto"/>
                <w:spacing w:val="0"/>
                <w:kern w:val="2"/>
                <w:sz w:val="28"/>
                <w:szCs w:val="28"/>
                <w:highlight w:val="none"/>
                <w:u w:val="none" w:color="auto"/>
                <w:vertAlign w:val="superscript"/>
                <w:lang w:val="en-US" w:eastAsia="zh-CN"/>
              </w:rPr>
              <w:t>*</w:t>
            </w:r>
          </w:p>
        </w:tc>
        <w:tc>
          <w:tcPr>
            <w:tcW w:w="678" w:type="pct"/>
            <w:tcBorders>
              <w:left w:val="single" w:color="auto" w:sz="4" w:space="0"/>
            </w:tcBorders>
            <w:noWrap w:val="0"/>
            <w:tcMar>
              <w:left w:w="28" w:type="dxa"/>
              <w:right w:w="28" w:type="dxa"/>
            </w:tcMar>
            <w:vAlign w:val="center"/>
          </w:tcPr>
          <w:p w14:paraId="258891FD">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w:t>
            </w:r>
          </w:p>
        </w:tc>
        <w:tc>
          <w:tcPr>
            <w:tcW w:w="670" w:type="pct"/>
            <w:tcBorders>
              <w:left w:val="single" w:color="auto" w:sz="4" w:space="0"/>
            </w:tcBorders>
            <w:noWrap w:val="0"/>
            <w:tcMar>
              <w:left w:w="28" w:type="dxa"/>
              <w:right w:w="28" w:type="dxa"/>
            </w:tcMar>
            <w:vAlign w:val="center"/>
          </w:tcPr>
          <w:p w14:paraId="01A7256D">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9左右</w:t>
            </w:r>
          </w:p>
        </w:tc>
        <w:tc>
          <w:tcPr>
            <w:tcW w:w="567" w:type="pct"/>
            <w:tcBorders>
              <w:left w:val="single" w:color="auto" w:sz="4" w:space="0"/>
            </w:tcBorders>
            <w:noWrap w:val="0"/>
            <w:tcMar>
              <w:left w:w="28" w:type="dxa"/>
              <w:right w:w="28" w:type="dxa"/>
            </w:tcMar>
            <w:vAlign w:val="center"/>
          </w:tcPr>
          <w:p w14:paraId="44F45060">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151F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1E5DAF14">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77D31CD0">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5.</w:t>
            </w:r>
            <w:r>
              <w:rPr>
                <w:rFonts w:hint="default" w:ascii="Times New Roman" w:hAnsi="Times New Roman" w:eastAsia="仿宋_GB2312" w:cs="Times New Roman"/>
                <w:color w:val="auto"/>
                <w:spacing w:val="0"/>
                <w:kern w:val="2"/>
                <w:sz w:val="28"/>
                <w:szCs w:val="28"/>
                <w:highlight w:val="none"/>
                <w:u w:val="none" w:color="auto"/>
              </w:rPr>
              <w:t>每万人口高价值发明专利拥有量（件）</w:t>
            </w:r>
          </w:p>
        </w:tc>
        <w:tc>
          <w:tcPr>
            <w:tcW w:w="466" w:type="pct"/>
            <w:tcBorders>
              <w:left w:val="single" w:color="auto" w:sz="4" w:space="0"/>
            </w:tcBorders>
            <w:noWrap w:val="0"/>
            <w:tcMar>
              <w:left w:w="28" w:type="dxa"/>
              <w:right w:w="28" w:type="dxa"/>
            </w:tcMar>
            <w:vAlign w:val="center"/>
          </w:tcPr>
          <w:p w14:paraId="3BB0BF30">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1.9</w:t>
            </w:r>
          </w:p>
        </w:tc>
        <w:tc>
          <w:tcPr>
            <w:tcW w:w="678" w:type="pct"/>
            <w:tcBorders>
              <w:left w:val="single" w:color="auto" w:sz="4" w:space="0"/>
            </w:tcBorders>
            <w:noWrap w:val="0"/>
            <w:tcMar>
              <w:left w:w="28" w:type="dxa"/>
              <w:right w:w="28" w:type="dxa"/>
            </w:tcMar>
            <w:vAlign w:val="center"/>
          </w:tcPr>
          <w:p w14:paraId="0D0406E7">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2.0</w:t>
            </w:r>
          </w:p>
        </w:tc>
        <w:tc>
          <w:tcPr>
            <w:tcW w:w="670" w:type="pct"/>
            <w:tcBorders>
              <w:left w:val="single" w:color="auto" w:sz="4" w:space="0"/>
            </w:tcBorders>
            <w:noWrap w:val="0"/>
            <w:tcMar>
              <w:left w:w="28" w:type="dxa"/>
              <w:right w:w="28" w:type="dxa"/>
            </w:tcMar>
            <w:vAlign w:val="center"/>
          </w:tcPr>
          <w:p w14:paraId="6F842306">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cs="Times New Roman"/>
                <w:color w:val="auto"/>
                <w:spacing w:val="0"/>
                <w:kern w:val="2"/>
                <w:sz w:val="28"/>
                <w:szCs w:val="28"/>
                <w:highlight w:val="none"/>
                <w:u w:val="none" w:color="auto"/>
                <w:lang w:val="en-US" w:eastAsia="zh-CN"/>
              </w:rPr>
              <w:t>—</w:t>
            </w:r>
          </w:p>
        </w:tc>
        <w:tc>
          <w:tcPr>
            <w:tcW w:w="567" w:type="pct"/>
            <w:tcBorders>
              <w:left w:val="single" w:color="auto" w:sz="4" w:space="0"/>
            </w:tcBorders>
            <w:noWrap w:val="0"/>
            <w:tcMar>
              <w:left w:w="28" w:type="dxa"/>
              <w:right w:w="28" w:type="dxa"/>
            </w:tcMar>
            <w:vAlign w:val="center"/>
          </w:tcPr>
          <w:p w14:paraId="394999F2">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0D4B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3C1B9A58">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1A3B7BB5">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6.</w:t>
            </w:r>
            <w:r>
              <w:rPr>
                <w:rFonts w:hint="default" w:ascii="Times New Roman" w:hAnsi="Times New Roman" w:eastAsia="仿宋_GB2312" w:cs="Times New Roman"/>
                <w:color w:val="auto"/>
                <w:spacing w:val="0"/>
                <w:kern w:val="2"/>
                <w:sz w:val="28"/>
                <w:szCs w:val="28"/>
                <w:highlight w:val="none"/>
                <w:u w:val="none" w:color="auto"/>
              </w:rPr>
              <w:t>数字经济核心产业增加值占</w:t>
            </w:r>
            <w:r>
              <w:rPr>
                <w:rFonts w:hint="eastAsia" w:ascii="Times New Roman" w:hAnsi="Times New Roman" w:cs="Times New Roman"/>
                <w:color w:val="auto"/>
                <w:spacing w:val="0"/>
                <w:kern w:val="2"/>
                <w:sz w:val="28"/>
                <w:szCs w:val="28"/>
                <w:highlight w:val="none"/>
                <w:u w:val="none" w:color="auto"/>
                <w:lang w:eastAsia="zh-CN"/>
              </w:rPr>
              <w:t>地区生产总值</w:t>
            </w:r>
            <w:r>
              <w:rPr>
                <w:rFonts w:hint="default" w:ascii="Times New Roman" w:hAnsi="Times New Roman" w:eastAsia="仿宋_GB2312" w:cs="Times New Roman"/>
                <w:color w:val="auto"/>
                <w:spacing w:val="0"/>
                <w:kern w:val="2"/>
                <w:sz w:val="28"/>
                <w:szCs w:val="28"/>
                <w:highlight w:val="none"/>
                <w:u w:val="none" w:color="auto"/>
              </w:rPr>
              <w:t>比重（%）</w:t>
            </w:r>
          </w:p>
        </w:tc>
        <w:tc>
          <w:tcPr>
            <w:tcW w:w="466" w:type="pct"/>
            <w:tcBorders>
              <w:left w:val="single" w:color="auto" w:sz="4" w:space="0"/>
            </w:tcBorders>
            <w:noWrap w:val="0"/>
            <w:tcMar>
              <w:left w:w="28" w:type="dxa"/>
              <w:right w:w="28" w:type="dxa"/>
            </w:tcMar>
            <w:vAlign w:val="center"/>
          </w:tcPr>
          <w:p w14:paraId="3C7D8380">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1.28</w:t>
            </w:r>
          </w:p>
        </w:tc>
        <w:tc>
          <w:tcPr>
            <w:tcW w:w="678" w:type="pct"/>
            <w:tcBorders>
              <w:left w:val="single" w:color="auto" w:sz="4" w:space="0"/>
            </w:tcBorders>
            <w:noWrap w:val="0"/>
            <w:tcMar>
              <w:left w:w="28" w:type="dxa"/>
              <w:right w:w="28" w:type="dxa"/>
            </w:tcMar>
            <w:vAlign w:val="center"/>
          </w:tcPr>
          <w:p w14:paraId="0A5B7AF4">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4.</w:t>
            </w:r>
            <w:r>
              <w:rPr>
                <w:rFonts w:hint="default" w:ascii="Times New Roman" w:hAnsi="Times New Roman" w:cs="Times New Roman"/>
                <w:color w:val="auto"/>
                <w:spacing w:val="0"/>
                <w:kern w:val="2"/>
                <w:sz w:val="28"/>
                <w:szCs w:val="28"/>
                <w:highlight w:val="none"/>
                <w:u w:val="none" w:color="auto"/>
                <w:lang w:val="en-US" w:eastAsia="zh-CN"/>
              </w:rPr>
              <w:t>5</w:t>
            </w:r>
          </w:p>
          <w:p w14:paraId="3E30E897">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左右</w:t>
            </w:r>
          </w:p>
        </w:tc>
        <w:tc>
          <w:tcPr>
            <w:tcW w:w="670" w:type="pct"/>
            <w:tcBorders>
              <w:left w:val="single" w:color="auto" w:sz="4" w:space="0"/>
            </w:tcBorders>
            <w:noWrap w:val="0"/>
            <w:tcMar>
              <w:left w:w="28" w:type="dxa"/>
              <w:right w:w="28" w:type="dxa"/>
            </w:tcMar>
            <w:vAlign w:val="center"/>
          </w:tcPr>
          <w:p w14:paraId="5FCC9BB3">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cs="Times New Roman"/>
                <w:color w:val="auto"/>
                <w:spacing w:val="0"/>
                <w:kern w:val="2"/>
                <w:sz w:val="28"/>
                <w:szCs w:val="28"/>
                <w:highlight w:val="none"/>
                <w:u w:val="none" w:color="auto"/>
                <w:lang w:eastAsia="zh-CN"/>
              </w:rPr>
              <w:t>—</w:t>
            </w:r>
          </w:p>
        </w:tc>
        <w:tc>
          <w:tcPr>
            <w:tcW w:w="567" w:type="pct"/>
            <w:tcBorders>
              <w:left w:val="single" w:color="auto" w:sz="4" w:space="0"/>
            </w:tcBorders>
            <w:noWrap w:val="0"/>
            <w:tcMar>
              <w:left w:w="28" w:type="dxa"/>
              <w:right w:w="28" w:type="dxa"/>
            </w:tcMar>
            <w:vAlign w:val="center"/>
          </w:tcPr>
          <w:p w14:paraId="1A44B5CD">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51E5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restart"/>
            <w:tcBorders>
              <w:left w:val="single" w:color="auto" w:sz="4" w:space="0"/>
            </w:tcBorders>
            <w:shd w:val="clear" w:color="auto" w:fill="auto"/>
            <w:noWrap w:val="0"/>
            <w:tcMar>
              <w:left w:w="28" w:type="dxa"/>
              <w:right w:w="28" w:type="dxa"/>
            </w:tcMar>
            <w:vAlign w:val="center"/>
          </w:tcPr>
          <w:p w14:paraId="5B0F8DB8">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center"/>
              <w:textAlignment w:val="baseline"/>
              <w:rPr>
                <w:rFonts w:hint="eastAsia" w:ascii="Times New Roman" w:hAnsi="Times New Roman" w:cs="Times New Roman"/>
                <w:b w:val="0"/>
                <w:bCs w:val="0"/>
                <w:color w:val="auto"/>
                <w:spacing w:val="0"/>
                <w:kern w:val="2"/>
                <w:sz w:val="28"/>
                <w:szCs w:val="28"/>
                <w:highlight w:val="none"/>
                <w:u w:val="none" w:color="auto"/>
                <w:lang w:val="en-US" w:eastAsia="zh-CN"/>
              </w:rPr>
            </w:pPr>
            <w:r>
              <w:rPr>
                <w:rFonts w:hint="default" w:ascii="Times New Roman" w:hAnsi="Times New Roman" w:eastAsia="仿宋_GB2312" w:cs="Times New Roman"/>
                <w:b w:val="0"/>
                <w:bCs w:val="0"/>
                <w:color w:val="auto"/>
                <w:spacing w:val="0"/>
                <w:kern w:val="2"/>
                <w:sz w:val="28"/>
                <w:szCs w:val="28"/>
                <w:highlight w:val="none"/>
                <w:u w:val="none" w:color="auto"/>
                <w:lang w:eastAsia="zh-CN"/>
              </w:rPr>
              <w:t>民生福祉</w:t>
            </w:r>
          </w:p>
        </w:tc>
        <w:tc>
          <w:tcPr>
            <w:tcW w:w="2278" w:type="pct"/>
            <w:gridSpan w:val="2"/>
            <w:tcBorders>
              <w:left w:val="single" w:color="auto" w:sz="4" w:space="0"/>
            </w:tcBorders>
            <w:shd w:val="clear" w:color="auto" w:fill="auto"/>
            <w:noWrap w:val="0"/>
            <w:tcMar>
              <w:left w:w="28" w:type="dxa"/>
              <w:right w:w="28" w:type="dxa"/>
            </w:tcMar>
            <w:vAlign w:val="center"/>
          </w:tcPr>
          <w:p w14:paraId="7504017C">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eastAsia" w:ascii="Times New Roman" w:hAnsi="Times New Roman" w:cs="Times New Roman"/>
                <w:color w:val="auto"/>
                <w:spacing w:val="0"/>
                <w:kern w:val="2"/>
                <w:sz w:val="28"/>
                <w:szCs w:val="28"/>
                <w:highlight w:val="none"/>
                <w:u w:val="none" w:color="auto"/>
                <w:lang w:val="en-US" w:eastAsia="zh-CN"/>
              </w:rPr>
              <w:t>7</w:t>
            </w:r>
            <w:r>
              <w:rPr>
                <w:rFonts w:hint="default" w:ascii="Times New Roman" w:hAnsi="Times New Roman" w:eastAsia="仿宋_GB2312" w:cs="Times New Roman"/>
                <w:color w:val="auto"/>
                <w:spacing w:val="0"/>
                <w:kern w:val="2"/>
                <w:sz w:val="28"/>
                <w:szCs w:val="28"/>
                <w:highlight w:val="none"/>
                <w:u w:val="none" w:color="auto"/>
                <w:lang w:val="en-US" w:eastAsia="zh-CN"/>
              </w:rPr>
              <w:t>.</w:t>
            </w:r>
            <w:r>
              <w:rPr>
                <w:rFonts w:hint="default" w:ascii="Times New Roman" w:hAnsi="Times New Roman" w:eastAsia="仿宋_GB2312" w:cs="Times New Roman"/>
                <w:color w:val="auto"/>
                <w:spacing w:val="0"/>
                <w:kern w:val="2"/>
                <w:sz w:val="28"/>
                <w:szCs w:val="28"/>
                <w:highlight w:val="none"/>
                <w:u w:val="none" w:color="auto"/>
                <w:lang w:eastAsia="zh-CN"/>
              </w:rPr>
              <w:t>城镇新增就业人数（</w:t>
            </w:r>
            <w:r>
              <w:rPr>
                <w:rFonts w:hint="eastAsia" w:ascii="Times New Roman" w:hAnsi="Times New Roman" w:cs="Times New Roman"/>
                <w:color w:val="auto"/>
                <w:spacing w:val="0"/>
                <w:kern w:val="2"/>
                <w:sz w:val="28"/>
                <w:szCs w:val="28"/>
                <w:highlight w:val="none"/>
                <w:u w:val="none" w:color="auto"/>
                <w:lang w:eastAsia="zh-CN"/>
              </w:rPr>
              <w:t>万</w:t>
            </w:r>
            <w:r>
              <w:rPr>
                <w:rFonts w:hint="default" w:ascii="Times New Roman" w:hAnsi="Times New Roman" w:eastAsia="仿宋_GB2312" w:cs="Times New Roman"/>
                <w:color w:val="auto"/>
                <w:spacing w:val="0"/>
                <w:kern w:val="2"/>
                <w:sz w:val="28"/>
                <w:szCs w:val="28"/>
                <w:highlight w:val="none"/>
                <w:u w:val="none" w:color="auto"/>
                <w:lang w:eastAsia="zh-CN"/>
              </w:rPr>
              <w:t>人）</w:t>
            </w:r>
          </w:p>
        </w:tc>
        <w:tc>
          <w:tcPr>
            <w:tcW w:w="466" w:type="pct"/>
            <w:tcBorders>
              <w:left w:val="single" w:color="auto" w:sz="4" w:space="0"/>
            </w:tcBorders>
            <w:shd w:val="clear" w:color="auto" w:fill="auto"/>
            <w:noWrap w:val="0"/>
            <w:tcMar>
              <w:left w:w="28" w:type="dxa"/>
              <w:right w:w="28" w:type="dxa"/>
            </w:tcMar>
            <w:vAlign w:val="center"/>
          </w:tcPr>
          <w:p w14:paraId="3C1781F4">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0.</w:t>
            </w:r>
            <w:r>
              <w:rPr>
                <w:rFonts w:hint="default" w:ascii="Times New Roman" w:hAnsi="Times New Roman" w:cs="Times New Roman"/>
                <w:color w:val="auto"/>
                <w:spacing w:val="0"/>
                <w:kern w:val="2"/>
                <w:sz w:val="28"/>
                <w:szCs w:val="28"/>
                <w:highlight w:val="none"/>
                <w:u w:val="none" w:color="auto"/>
                <w:lang w:val="en-US" w:eastAsia="zh-CN"/>
              </w:rPr>
              <w:t>4497</w:t>
            </w:r>
          </w:p>
        </w:tc>
        <w:tc>
          <w:tcPr>
            <w:tcW w:w="678" w:type="pct"/>
            <w:tcBorders>
              <w:left w:val="single" w:color="auto" w:sz="4" w:space="0"/>
            </w:tcBorders>
            <w:shd w:val="clear" w:color="auto" w:fill="auto"/>
            <w:noWrap w:val="0"/>
            <w:tcMar>
              <w:left w:w="28" w:type="dxa"/>
              <w:right w:w="28" w:type="dxa"/>
            </w:tcMar>
            <w:vAlign w:val="center"/>
          </w:tcPr>
          <w:p w14:paraId="6351D80E">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w:t>
            </w:r>
          </w:p>
        </w:tc>
        <w:tc>
          <w:tcPr>
            <w:tcW w:w="670" w:type="pct"/>
            <w:tcBorders>
              <w:left w:val="single" w:color="auto" w:sz="4" w:space="0"/>
            </w:tcBorders>
            <w:shd w:val="clear" w:color="auto" w:fill="auto"/>
            <w:noWrap w:val="0"/>
            <w:tcMar>
              <w:left w:w="28" w:type="dxa"/>
              <w:right w:w="28" w:type="dxa"/>
            </w:tcMar>
            <w:vAlign w:val="center"/>
          </w:tcPr>
          <w:p w14:paraId="7AA0E4F3">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黑体" w:hAnsi="黑体" w:eastAsia="黑体" w:cs="黑体"/>
                <w:b w:val="0"/>
                <w:bCs w:val="0"/>
                <w:color w:val="auto"/>
                <w:spacing w:val="0"/>
                <w:kern w:val="2"/>
                <w:sz w:val="24"/>
                <w:szCs w:val="24"/>
                <w:highlight w:val="none"/>
                <w:u w:val="none" w:color="auto"/>
                <w:lang w:val="en-US" w:eastAsia="zh-CN"/>
              </w:rPr>
              <w:t>〔</w:t>
            </w:r>
            <w:r>
              <w:rPr>
                <w:rFonts w:hint="eastAsia" w:ascii="Times New Roman" w:hAnsi="Times New Roman" w:cs="Times New Roman"/>
                <w:color w:val="auto"/>
                <w:spacing w:val="0"/>
                <w:kern w:val="2"/>
                <w:sz w:val="28"/>
                <w:szCs w:val="28"/>
                <w:highlight w:val="none"/>
                <w:u w:val="none" w:color="auto"/>
                <w:lang w:val="en-US" w:eastAsia="zh-CN"/>
              </w:rPr>
              <w:t>2.25</w:t>
            </w:r>
            <w:r>
              <w:rPr>
                <w:rFonts w:hint="eastAsia" w:ascii="黑体" w:hAnsi="黑体" w:eastAsia="黑体" w:cs="黑体"/>
                <w:b w:val="0"/>
                <w:bCs w:val="0"/>
                <w:color w:val="auto"/>
                <w:spacing w:val="0"/>
                <w:kern w:val="2"/>
                <w:sz w:val="24"/>
                <w:szCs w:val="24"/>
                <w:highlight w:val="none"/>
                <w:u w:val="none" w:color="auto"/>
                <w:lang w:val="en-US" w:eastAsia="zh-CN"/>
              </w:rPr>
              <w:t>〕</w:t>
            </w:r>
          </w:p>
        </w:tc>
        <w:tc>
          <w:tcPr>
            <w:tcW w:w="567" w:type="pct"/>
            <w:tcBorders>
              <w:left w:val="single" w:color="auto" w:sz="4" w:space="0"/>
            </w:tcBorders>
            <w:shd w:val="clear" w:color="auto" w:fill="auto"/>
            <w:noWrap w:val="0"/>
            <w:tcMar>
              <w:left w:w="28" w:type="dxa"/>
              <w:right w:w="28" w:type="dxa"/>
            </w:tcMar>
            <w:vAlign w:val="center"/>
          </w:tcPr>
          <w:p w14:paraId="0AB6EFDB">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71A7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shd w:val="clear" w:color="auto" w:fill="auto"/>
            <w:noWrap w:val="0"/>
            <w:tcMar>
              <w:left w:w="28" w:type="dxa"/>
              <w:right w:w="28" w:type="dxa"/>
            </w:tcMar>
            <w:vAlign w:val="center"/>
          </w:tcPr>
          <w:p w14:paraId="3BBAF699">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eastAsia" w:ascii="Times New Roman" w:hAnsi="Times New Roman"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shd w:val="clear" w:color="auto" w:fill="auto"/>
            <w:noWrap w:val="0"/>
            <w:tcMar>
              <w:left w:w="28" w:type="dxa"/>
              <w:right w:w="28" w:type="dxa"/>
            </w:tcMar>
            <w:vAlign w:val="center"/>
          </w:tcPr>
          <w:p w14:paraId="3BCDC5FF">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firstLineChars="0"/>
              <w:jc w:val="both"/>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8</w:t>
            </w:r>
            <w:r>
              <w:rPr>
                <w:rFonts w:hint="default" w:ascii="Times New Roman" w:hAnsi="Times New Roman" w:eastAsia="仿宋_GB2312" w:cs="Times New Roman"/>
                <w:color w:val="auto"/>
                <w:spacing w:val="0"/>
                <w:kern w:val="2"/>
                <w:sz w:val="28"/>
                <w:szCs w:val="28"/>
                <w:highlight w:val="none"/>
                <w:u w:val="none" w:color="auto"/>
                <w:lang w:val="en-US" w:eastAsia="zh-CN"/>
              </w:rPr>
              <w:t>.</w:t>
            </w:r>
            <w:r>
              <w:rPr>
                <w:rFonts w:hint="default" w:ascii="Times New Roman" w:hAnsi="Times New Roman" w:eastAsia="仿宋_GB2312" w:cs="Times New Roman"/>
                <w:color w:val="auto"/>
                <w:spacing w:val="0"/>
                <w:kern w:val="2"/>
                <w:sz w:val="28"/>
                <w:szCs w:val="28"/>
                <w:highlight w:val="none"/>
                <w:u w:val="none" w:color="auto"/>
              </w:rPr>
              <w:t>居民人均可支配收入增长（%）</w:t>
            </w:r>
          </w:p>
        </w:tc>
        <w:tc>
          <w:tcPr>
            <w:tcW w:w="466" w:type="pct"/>
            <w:tcBorders>
              <w:left w:val="single" w:color="auto" w:sz="4" w:space="0"/>
            </w:tcBorders>
            <w:shd w:val="clear" w:color="auto" w:fill="auto"/>
            <w:noWrap w:val="0"/>
            <w:tcMar>
              <w:left w:w="28" w:type="dxa"/>
              <w:right w:w="28" w:type="dxa"/>
            </w:tcMar>
            <w:vAlign w:val="center"/>
          </w:tcPr>
          <w:p w14:paraId="002647F7">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eastAsia" w:ascii="Times New Roman" w:hAnsi="Times New Roman"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4.1</w:t>
            </w:r>
          </w:p>
        </w:tc>
        <w:tc>
          <w:tcPr>
            <w:tcW w:w="678" w:type="pct"/>
            <w:tcBorders>
              <w:left w:val="single" w:color="auto" w:sz="4" w:space="0"/>
            </w:tcBorders>
            <w:shd w:val="clear" w:color="auto" w:fill="auto"/>
            <w:noWrap w:val="0"/>
            <w:tcMar>
              <w:left w:w="28" w:type="dxa"/>
              <w:right w:w="28" w:type="dxa"/>
            </w:tcMar>
            <w:vAlign w:val="center"/>
          </w:tcPr>
          <w:p w14:paraId="5251BA5E">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w:t>
            </w:r>
          </w:p>
        </w:tc>
        <w:tc>
          <w:tcPr>
            <w:tcW w:w="670" w:type="pct"/>
            <w:tcBorders>
              <w:left w:val="single" w:color="auto" w:sz="4" w:space="0"/>
            </w:tcBorders>
            <w:shd w:val="clear" w:color="auto" w:fill="auto"/>
            <w:noWrap w:val="0"/>
            <w:tcMar>
              <w:left w:w="28" w:type="dxa"/>
              <w:right w:w="28" w:type="dxa"/>
            </w:tcMar>
            <w:vAlign w:val="center"/>
          </w:tcPr>
          <w:p w14:paraId="2C786C5D">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eastAsia" w:ascii="Times New Roman" w:hAnsi="Times New Roman" w:cs="Times New Roman"/>
                <w:color w:val="auto"/>
                <w:spacing w:val="0"/>
                <w:kern w:val="2"/>
                <w:sz w:val="28"/>
                <w:szCs w:val="28"/>
                <w:highlight w:val="none"/>
                <w:u w:val="none" w:color="auto"/>
                <w:lang w:val="en-US" w:eastAsia="zh-CN"/>
              </w:rPr>
            </w:pPr>
            <w:r>
              <w:rPr>
                <w:rFonts w:hint="eastAsia" w:ascii="仿宋_GB2312" w:hAnsi="仿宋_GB2312" w:eastAsia="仿宋_GB2312" w:cs="仿宋_GB2312"/>
                <w:color w:val="auto"/>
                <w:spacing w:val="0"/>
                <w:kern w:val="2"/>
                <w:sz w:val="28"/>
                <w:szCs w:val="28"/>
                <w:highlight w:val="none"/>
                <w:u w:val="none" w:color="auto"/>
                <w:lang w:val="en-US" w:eastAsia="zh-CN"/>
              </w:rPr>
              <w:t>与GDP增长同步</w:t>
            </w:r>
          </w:p>
        </w:tc>
        <w:tc>
          <w:tcPr>
            <w:tcW w:w="567" w:type="pct"/>
            <w:tcBorders>
              <w:left w:val="single" w:color="auto" w:sz="4" w:space="0"/>
            </w:tcBorders>
            <w:shd w:val="clear" w:color="auto" w:fill="auto"/>
            <w:noWrap w:val="0"/>
            <w:tcMar>
              <w:left w:w="28" w:type="dxa"/>
              <w:right w:w="28" w:type="dxa"/>
            </w:tcMar>
            <w:vAlign w:val="center"/>
          </w:tcPr>
          <w:p w14:paraId="1439C809">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1EE1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7701EC73">
            <w:pPr>
              <w:keepNext w:val="0"/>
              <w:keepLines w:val="0"/>
              <w:pageBreakBefore w:val="0"/>
              <w:widowControl w:val="0"/>
              <w:numPr>
                <w:ilvl w:val="0"/>
                <w:numId w:val="0"/>
              </w:numPr>
              <w:shd w:val="clear"/>
              <w:kinsoku/>
              <w:wordWrap/>
              <w:overflowPunct w:val="0"/>
              <w:topLinePunct w:val="0"/>
              <w:autoSpaceDE/>
              <w:autoSpaceDN/>
              <w:bidi w:val="0"/>
              <w:adjustRightInd w:val="0"/>
              <w:snapToGrid w:val="0"/>
              <w:spacing w:line="0" w:lineRule="atLeast"/>
              <w:jc w:val="center"/>
              <w:textAlignment w:val="baseline"/>
              <w:rPr>
                <w:rFonts w:hint="default" w:ascii="Times New Roman" w:hAnsi="Times New Roman"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208736FB">
            <w:pPr>
              <w:keepNext w:val="0"/>
              <w:keepLines w:val="0"/>
              <w:pageBreakBefore w:val="0"/>
              <w:widowControl w:val="0"/>
              <w:numPr>
                <w:ilvl w:val="0"/>
                <w:numId w:val="0"/>
              </w:numPr>
              <w:shd w:val="clear"/>
              <w:kinsoku/>
              <w:wordWrap/>
              <w:overflowPunct w:val="0"/>
              <w:topLinePunct w:val="0"/>
              <w:autoSpaceDE/>
              <w:autoSpaceDN/>
              <w:bidi w:val="0"/>
              <w:adjustRightInd w:val="0"/>
              <w:snapToGrid w:val="0"/>
              <w:spacing w:line="0" w:lineRule="atLeast"/>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cs="Times New Roman"/>
                <w:color w:val="auto"/>
                <w:spacing w:val="0"/>
                <w:kern w:val="2"/>
                <w:sz w:val="28"/>
                <w:szCs w:val="28"/>
                <w:highlight w:val="none"/>
                <w:u w:val="none" w:color="auto"/>
                <w:lang w:val="en-US" w:eastAsia="zh-CN"/>
              </w:rPr>
              <w:t>9.</w:t>
            </w:r>
            <w:r>
              <w:rPr>
                <w:rFonts w:hint="default" w:ascii="Times New Roman" w:hAnsi="Times New Roman" w:eastAsia="仿宋_GB2312" w:cs="Times New Roman"/>
                <w:color w:val="auto"/>
                <w:spacing w:val="0"/>
                <w:kern w:val="2"/>
                <w:sz w:val="28"/>
                <w:szCs w:val="28"/>
                <w:highlight w:val="none"/>
                <w:u w:val="none" w:color="auto"/>
              </w:rPr>
              <w:t>劳动</w:t>
            </w:r>
            <w:r>
              <w:rPr>
                <w:rFonts w:hint="eastAsia" w:ascii="Times New Roman" w:hAnsi="Times New Roman" w:cs="Times New Roman"/>
                <w:color w:val="auto"/>
                <w:spacing w:val="0"/>
                <w:kern w:val="2"/>
                <w:sz w:val="28"/>
                <w:szCs w:val="28"/>
                <w:highlight w:val="none"/>
                <w:u w:val="none" w:color="auto"/>
                <w:lang w:eastAsia="zh-CN"/>
              </w:rPr>
              <w:t>年龄</w:t>
            </w:r>
            <w:r>
              <w:rPr>
                <w:rFonts w:hint="default" w:ascii="Times New Roman" w:hAnsi="Times New Roman" w:eastAsia="仿宋_GB2312" w:cs="Times New Roman"/>
                <w:color w:val="auto"/>
                <w:spacing w:val="0"/>
                <w:kern w:val="2"/>
                <w:sz w:val="28"/>
                <w:szCs w:val="28"/>
                <w:highlight w:val="none"/>
                <w:u w:val="none" w:color="auto"/>
              </w:rPr>
              <w:t>人口</w:t>
            </w:r>
            <w:r>
              <w:rPr>
                <w:rFonts w:hint="eastAsia" w:ascii="Times New Roman" w:hAnsi="Times New Roman" w:cs="Times New Roman"/>
                <w:color w:val="auto"/>
                <w:spacing w:val="0"/>
                <w:kern w:val="2"/>
                <w:sz w:val="28"/>
                <w:szCs w:val="28"/>
                <w:highlight w:val="none"/>
                <w:u w:val="none" w:color="auto"/>
                <w:lang w:eastAsia="zh-CN"/>
              </w:rPr>
              <w:t>平均</w:t>
            </w:r>
            <w:r>
              <w:rPr>
                <w:rFonts w:hint="default" w:ascii="Times New Roman" w:hAnsi="Times New Roman" w:eastAsia="仿宋_GB2312" w:cs="Times New Roman"/>
                <w:color w:val="auto"/>
                <w:spacing w:val="0"/>
                <w:kern w:val="2"/>
                <w:sz w:val="28"/>
                <w:szCs w:val="28"/>
                <w:highlight w:val="none"/>
                <w:u w:val="none" w:color="auto"/>
              </w:rPr>
              <w:t>受教育年限（年）</w:t>
            </w:r>
          </w:p>
        </w:tc>
        <w:tc>
          <w:tcPr>
            <w:tcW w:w="466" w:type="pct"/>
            <w:tcBorders>
              <w:left w:val="single" w:color="auto" w:sz="4" w:space="0"/>
            </w:tcBorders>
            <w:noWrap w:val="0"/>
            <w:tcMar>
              <w:left w:w="28" w:type="dxa"/>
              <w:right w:w="28" w:type="dxa"/>
            </w:tcMar>
            <w:vAlign w:val="center"/>
          </w:tcPr>
          <w:p w14:paraId="67CABA66">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9.55</w:t>
            </w:r>
          </w:p>
        </w:tc>
        <w:tc>
          <w:tcPr>
            <w:tcW w:w="678" w:type="pct"/>
            <w:tcBorders>
              <w:left w:val="single" w:color="auto" w:sz="4" w:space="0"/>
            </w:tcBorders>
            <w:noWrap w:val="0"/>
            <w:tcMar>
              <w:left w:w="28" w:type="dxa"/>
              <w:right w:w="28" w:type="dxa"/>
            </w:tcMar>
            <w:vAlign w:val="center"/>
          </w:tcPr>
          <w:p w14:paraId="338FCCDD">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10</w:t>
            </w:r>
          </w:p>
        </w:tc>
        <w:tc>
          <w:tcPr>
            <w:tcW w:w="670" w:type="pct"/>
            <w:tcBorders>
              <w:left w:val="single" w:color="auto" w:sz="4" w:space="0"/>
            </w:tcBorders>
            <w:noWrap w:val="0"/>
            <w:tcMar>
              <w:left w:w="28" w:type="dxa"/>
              <w:right w:w="28" w:type="dxa"/>
            </w:tcMar>
            <w:vAlign w:val="center"/>
          </w:tcPr>
          <w:p w14:paraId="2011EBD0">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cs="Times New Roman"/>
                <w:color w:val="auto"/>
                <w:spacing w:val="0"/>
                <w:kern w:val="2"/>
                <w:sz w:val="28"/>
                <w:szCs w:val="28"/>
                <w:highlight w:val="none"/>
                <w:u w:val="none" w:color="auto"/>
                <w:lang w:eastAsia="zh-CN"/>
              </w:rPr>
              <w:t>—</w:t>
            </w:r>
          </w:p>
        </w:tc>
        <w:tc>
          <w:tcPr>
            <w:tcW w:w="567" w:type="pct"/>
            <w:tcBorders>
              <w:left w:val="single" w:color="auto" w:sz="4" w:space="0"/>
            </w:tcBorders>
            <w:noWrap w:val="0"/>
            <w:tcMar>
              <w:left w:w="28" w:type="dxa"/>
              <w:right w:w="28" w:type="dxa"/>
            </w:tcMar>
            <w:vAlign w:val="center"/>
          </w:tcPr>
          <w:p w14:paraId="0AF5037B">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约束性</w:t>
            </w:r>
          </w:p>
        </w:tc>
      </w:tr>
      <w:tr w14:paraId="35B4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663C99FC">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917" w:type="pct"/>
            <w:vMerge w:val="restart"/>
            <w:tcBorders>
              <w:left w:val="single" w:color="auto" w:sz="4" w:space="0"/>
            </w:tcBorders>
            <w:noWrap w:val="0"/>
            <w:tcMar>
              <w:left w:w="28" w:type="dxa"/>
              <w:right w:w="28" w:type="dxa"/>
            </w:tcMar>
            <w:vAlign w:val="center"/>
          </w:tcPr>
          <w:p w14:paraId="04B8A215">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10.</w:t>
            </w:r>
            <w:r>
              <w:rPr>
                <w:rFonts w:hint="default" w:ascii="Times New Roman" w:hAnsi="Times New Roman" w:eastAsia="仿宋_GB2312" w:cs="Times New Roman"/>
                <w:color w:val="auto"/>
                <w:spacing w:val="0"/>
                <w:kern w:val="2"/>
                <w:sz w:val="28"/>
                <w:szCs w:val="28"/>
                <w:highlight w:val="none"/>
                <w:u w:val="none" w:color="auto"/>
              </w:rPr>
              <w:t>每千人口拥有医护人员数</w:t>
            </w:r>
          </w:p>
        </w:tc>
        <w:tc>
          <w:tcPr>
            <w:tcW w:w="1361" w:type="pct"/>
            <w:tcBorders>
              <w:left w:val="single" w:color="auto" w:sz="4" w:space="0"/>
            </w:tcBorders>
            <w:noWrap w:val="0"/>
            <w:tcMar>
              <w:left w:w="28" w:type="dxa"/>
              <w:right w:w="28" w:type="dxa"/>
            </w:tcMar>
            <w:vAlign w:val="center"/>
          </w:tcPr>
          <w:p w14:paraId="5A456AC5">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执业医师（人）</w:t>
            </w:r>
          </w:p>
        </w:tc>
        <w:tc>
          <w:tcPr>
            <w:tcW w:w="466" w:type="pct"/>
            <w:tcBorders>
              <w:left w:val="single" w:color="auto" w:sz="4" w:space="0"/>
            </w:tcBorders>
            <w:noWrap w:val="0"/>
            <w:tcMar>
              <w:left w:w="28" w:type="dxa"/>
              <w:right w:w="28" w:type="dxa"/>
            </w:tcMar>
            <w:vAlign w:val="center"/>
          </w:tcPr>
          <w:p w14:paraId="52BEBCAA">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2.06</w:t>
            </w:r>
          </w:p>
        </w:tc>
        <w:tc>
          <w:tcPr>
            <w:tcW w:w="678" w:type="pct"/>
            <w:tcBorders>
              <w:left w:val="single" w:color="auto" w:sz="4" w:space="0"/>
            </w:tcBorders>
            <w:noWrap w:val="0"/>
            <w:tcMar>
              <w:left w:w="28" w:type="dxa"/>
              <w:right w:w="28" w:type="dxa"/>
            </w:tcMar>
            <w:vAlign w:val="center"/>
          </w:tcPr>
          <w:p w14:paraId="0AD19D48">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2.12</w:t>
            </w:r>
          </w:p>
        </w:tc>
        <w:tc>
          <w:tcPr>
            <w:tcW w:w="670" w:type="pct"/>
            <w:tcBorders>
              <w:left w:val="single" w:color="auto" w:sz="4" w:space="0"/>
            </w:tcBorders>
            <w:noWrap w:val="0"/>
            <w:tcMar>
              <w:left w:w="28" w:type="dxa"/>
              <w:right w:w="28" w:type="dxa"/>
            </w:tcMar>
            <w:vAlign w:val="center"/>
          </w:tcPr>
          <w:p w14:paraId="634126ED">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cs="Times New Roman"/>
                <w:color w:val="auto"/>
                <w:spacing w:val="0"/>
                <w:kern w:val="2"/>
                <w:sz w:val="28"/>
                <w:szCs w:val="28"/>
                <w:highlight w:val="none"/>
                <w:u w:val="none" w:color="auto"/>
                <w:lang w:eastAsia="zh-CN"/>
              </w:rPr>
              <w:t>—</w:t>
            </w:r>
          </w:p>
        </w:tc>
        <w:tc>
          <w:tcPr>
            <w:tcW w:w="567" w:type="pct"/>
            <w:tcBorders>
              <w:left w:val="single" w:color="auto" w:sz="4" w:space="0"/>
            </w:tcBorders>
            <w:noWrap w:val="0"/>
            <w:tcMar>
              <w:left w:w="28" w:type="dxa"/>
              <w:right w:w="28" w:type="dxa"/>
            </w:tcMar>
            <w:vAlign w:val="center"/>
          </w:tcPr>
          <w:p w14:paraId="2CC2C6A4">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2C44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338" w:type="pct"/>
            <w:vMerge w:val="continue"/>
            <w:tcBorders>
              <w:left w:val="single" w:color="auto" w:sz="4" w:space="0"/>
            </w:tcBorders>
            <w:noWrap w:val="0"/>
            <w:tcMar>
              <w:left w:w="28" w:type="dxa"/>
              <w:right w:w="28" w:type="dxa"/>
            </w:tcMar>
            <w:vAlign w:val="center"/>
          </w:tcPr>
          <w:p w14:paraId="019F5977">
            <w:pPr>
              <w:keepNext w:val="0"/>
              <w:keepLines w:val="0"/>
              <w:pageBreakBefore w:val="0"/>
              <w:shd w:val="clear"/>
              <w:kinsoku/>
              <w:wordWrap/>
              <w:topLinePunct w:val="0"/>
              <w:autoSpaceDE/>
              <w:autoSpaceDN/>
              <w:bidi w:val="0"/>
              <w:spacing w:line="0" w:lineRule="atLeast"/>
              <w:jc w:val="both"/>
              <w:rPr>
                <w:rFonts w:hint="default" w:ascii="Times New Roman" w:hAnsi="Times New Roman" w:eastAsia="仿宋_GB2312" w:cs="Times New Roman"/>
                <w:b w:val="0"/>
                <w:bCs w:val="0"/>
                <w:color w:val="auto"/>
                <w:sz w:val="28"/>
                <w:szCs w:val="28"/>
                <w:highlight w:val="none"/>
                <w:u w:val="none" w:color="auto"/>
              </w:rPr>
            </w:pPr>
          </w:p>
        </w:tc>
        <w:tc>
          <w:tcPr>
            <w:tcW w:w="917" w:type="pct"/>
            <w:vMerge w:val="continue"/>
            <w:tcBorders>
              <w:left w:val="single" w:color="auto" w:sz="4" w:space="0"/>
            </w:tcBorders>
            <w:noWrap w:val="0"/>
            <w:tcMar>
              <w:left w:w="28" w:type="dxa"/>
              <w:right w:w="28" w:type="dxa"/>
            </w:tcMar>
            <w:vAlign w:val="center"/>
          </w:tcPr>
          <w:p w14:paraId="2AFE19B1">
            <w:pPr>
              <w:keepNext w:val="0"/>
              <w:keepLines w:val="0"/>
              <w:pageBreakBefore w:val="0"/>
              <w:shd w:val="clear"/>
              <w:kinsoku/>
              <w:wordWrap/>
              <w:topLinePunct w:val="0"/>
              <w:autoSpaceDE/>
              <w:autoSpaceDN/>
              <w:bidi w:val="0"/>
              <w:spacing w:line="0" w:lineRule="atLeast"/>
              <w:jc w:val="both"/>
              <w:rPr>
                <w:rFonts w:hint="default" w:ascii="Times New Roman" w:hAnsi="Times New Roman" w:eastAsia="仿宋_GB2312" w:cs="Times New Roman"/>
                <w:color w:val="auto"/>
                <w:sz w:val="28"/>
                <w:szCs w:val="28"/>
                <w:highlight w:val="none"/>
                <w:u w:val="none" w:color="auto"/>
              </w:rPr>
            </w:pPr>
          </w:p>
        </w:tc>
        <w:tc>
          <w:tcPr>
            <w:tcW w:w="1361" w:type="pct"/>
            <w:tcBorders>
              <w:left w:val="single" w:color="auto" w:sz="4" w:space="0"/>
            </w:tcBorders>
            <w:noWrap w:val="0"/>
            <w:tcMar>
              <w:left w:w="28" w:type="dxa"/>
              <w:right w:w="28" w:type="dxa"/>
            </w:tcMar>
            <w:vAlign w:val="center"/>
          </w:tcPr>
          <w:p w14:paraId="538BBBE1">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注册护士（人）</w:t>
            </w:r>
          </w:p>
        </w:tc>
        <w:tc>
          <w:tcPr>
            <w:tcW w:w="466" w:type="pct"/>
            <w:tcBorders>
              <w:left w:val="single" w:color="auto" w:sz="4" w:space="0"/>
            </w:tcBorders>
            <w:noWrap w:val="0"/>
            <w:tcMar>
              <w:left w:w="28" w:type="dxa"/>
              <w:right w:w="28" w:type="dxa"/>
            </w:tcMar>
            <w:vAlign w:val="center"/>
          </w:tcPr>
          <w:p w14:paraId="07FF598F">
            <w:pPr>
              <w:keepNext w:val="0"/>
              <w:keepLines w:val="0"/>
              <w:pageBreakBefore w:val="0"/>
              <w:shd w:val="clear"/>
              <w:kinsoku/>
              <w:wordWrap/>
              <w:topLinePunct w:val="0"/>
              <w:autoSpaceDE/>
              <w:autoSpaceDN/>
              <w:bidi w:val="0"/>
              <w:spacing w:line="0" w:lineRule="atLeast"/>
              <w:jc w:val="center"/>
              <w:rPr>
                <w:rFonts w:hint="default" w:ascii="Times New Roman" w:hAnsi="Times New Roman" w:eastAsia="仿宋_GB2312" w:cs="Times New Roman"/>
                <w:color w:val="auto"/>
                <w:sz w:val="28"/>
                <w:szCs w:val="28"/>
                <w:highlight w:val="none"/>
                <w:u w:val="none" w:color="auto"/>
                <w:lang w:val="en-US" w:eastAsia="zh-CN"/>
              </w:rPr>
            </w:pPr>
            <w:r>
              <w:rPr>
                <w:rFonts w:hint="eastAsia" w:ascii="Times New Roman" w:hAnsi="Times New Roman" w:cs="Times New Roman"/>
                <w:color w:val="auto"/>
                <w:sz w:val="28"/>
                <w:szCs w:val="28"/>
                <w:highlight w:val="none"/>
                <w:u w:val="none" w:color="auto"/>
                <w:lang w:val="en-US" w:eastAsia="zh-CN"/>
              </w:rPr>
              <w:t>2.75</w:t>
            </w:r>
          </w:p>
        </w:tc>
        <w:tc>
          <w:tcPr>
            <w:tcW w:w="678" w:type="pct"/>
            <w:tcBorders>
              <w:left w:val="single" w:color="auto" w:sz="4" w:space="0"/>
            </w:tcBorders>
            <w:noWrap w:val="0"/>
            <w:tcMar>
              <w:left w:w="28" w:type="dxa"/>
              <w:right w:w="28" w:type="dxa"/>
            </w:tcMar>
            <w:vAlign w:val="center"/>
          </w:tcPr>
          <w:p w14:paraId="5A9B6A0C">
            <w:pPr>
              <w:keepNext w:val="0"/>
              <w:keepLines w:val="0"/>
              <w:pageBreakBefore w:val="0"/>
              <w:shd w:val="clear"/>
              <w:kinsoku/>
              <w:wordWrap/>
              <w:topLinePunct w:val="0"/>
              <w:autoSpaceDE/>
              <w:autoSpaceDN/>
              <w:bidi w:val="0"/>
              <w:spacing w:line="0" w:lineRule="atLeast"/>
              <w:jc w:val="center"/>
              <w:rPr>
                <w:rFonts w:hint="default" w:ascii="Times New Roman" w:hAnsi="Times New Roman" w:eastAsia="仿宋_GB2312" w:cs="Times New Roman"/>
                <w:color w:val="auto"/>
                <w:sz w:val="28"/>
                <w:szCs w:val="28"/>
                <w:highlight w:val="none"/>
                <w:u w:val="none" w:color="auto"/>
                <w:lang w:val="en-US" w:eastAsia="zh-CN"/>
              </w:rPr>
            </w:pPr>
            <w:r>
              <w:rPr>
                <w:rFonts w:hint="eastAsia" w:ascii="Times New Roman" w:hAnsi="Times New Roman" w:cs="Times New Roman"/>
                <w:color w:val="auto"/>
                <w:sz w:val="28"/>
                <w:szCs w:val="28"/>
                <w:highlight w:val="none"/>
                <w:u w:val="none" w:color="auto"/>
                <w:lang w:val="en-US" w:eastAsia="zh-CN"/>
              </w:rPr>
              <w:t>2.82</w:t>
            </w:r>
          </w:p>
        </w:tc>
        <w:tc>
          <w:tcPr>
            <w:tcW w:w="670" w:type="pct"/>
            <w:tcBorders>
              <w:left w:val="single" w:color="auto" w:sz="4" w:space="0"/>
            </w:tcBorders>
            <w:noWrap w:val="0"/>
            <w:tcMar>
              <w:left w:w="28" w:type="dxa"/>
              <w:right w:w="28" w:type="dxa"/>
            </w:tcMar>
            <w:vAlign w:val="center"/>
          </w:tcPr>
          <w:p w14:paraId="54B9DED8">
            <w:pPr>
              <w:keepNext w:val="0"/>
              <w:keepLines w:val="0"/>
              <w:pageBreakBefore w:val="0"/>
              <w:shd w:val="clear"/>
              <w:kinsoku/>
              <w:wordWrap/>
              <w:topLinePunct w:val="0"/>
              <w:autoSpaceDE/>
              <w:autoSpaceDN/>
              <w:bidi w:val="0"/>
              <w:spacing w:line="0" w:lineRule="atLeast"/>
              <w:jc w:val="center"/>
              <w:rPr>
                <w:rFonts w:hint="default" w:ascii="Times New Roman" w:hAnsi="Times New Roman" w:eastAsia="仿宋_GB2312" w:cs="Times New Roman"/>
                <w:color w:val="auto"/>
                <w:sz w:val="28"/>
                <w:szCs w:val="28"/>
                <w:highlight w:val="none"/>
                <w:u w:val="none" w:color="auto"/>
              </w:rPr>
            </w:pPr>
            <w:r>
              <w:rPr>
                <w:rFonts w:hint="default" w:ascii="Times New Roman" w:hAnsi="Times New Roman" w:cs="Times New Roman"/>
                <w:color w:val="auto"/>
                <w:spacing w:val="0"/>
                <w:kern w:val="2"/>
                <w:sz w:val="28"/>
                <w:szCs w:val="28"/>
                <w:highlight w:val="none"/>
                <w:u w:val="none" w:color="auto"/>
                <w:lang w:eastAsia="zh-CN"/>
              </w:rPr>
              <w:t>—</w:t>
            </w:r>
          </w:p>
        </w:tc>
        <w:tc>
          <w:tcPr>
            <w:tcW w:w="567" w:type="pct"/>
            <w:tcBorders>
              <w:left w:val="single" w:color="auto" w:sz="4" w:space="0"/>
            </w:tcBorders>
            <w:noWrap w:val="0"/>
            <w:tcMar>
              <w:left w:w="28" w:type="dxa"/>
              <w:right w:w="28" w:type="dxa"/>
            </w:tcMar>
            <w:vAlign w:val="center"/>
          </w:tcPr>
          <w:p w14:paraId="5099B931">
            <w:pPr>
              <w:keepNext w:val="0"/>
              <w:keepLines w:val="0"/>
              <w:pageBreakBefore w:val="0"/>
              <w:shd w:val="clear"/>
              <w:kinsoku/>
              <w:wordWrap/>
              <w:topLinePunct w:val="0"/>
              <w:autoSpaceDE/>
              <w:autoSpaceDN/>
              <w:bidi w:val="0"/>
              <w:spacing w:line="0" w:lineRule="atLeast"/>
              <w:jc w:val="center"/>
              <w:rPr>
                <w:rFonts w:hint="default" w:ascii="Times New Roman" w:hAnsi="Times New Roman" w:eastAsia="仿宋_GB2312" w:cs="Times New Roman"/>
                <w:color w:val="auto"/>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5E58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338" w:type="pct"/>
            <w:vMerge w:val="restart"/>
            <w:tcBorders>
              <w:left w:val="single" w:color="auto" w:sz="4" w:space="0"/>
            </w:tcBorders>
            <w:noWrap w:val="0"/>
            <w:tcMar>
              <w:left w:w="28" w:type="dxa"/>
              <w:right w:w="28" w:type="dxa"/>
            </w:tcMar>
            <w:vAlign w:val="center"/>
          </w:tcPr>
          <w:p w14:paraId="6AF7B56D">
            <w:pPr>
              <w:keepNext w:val="0"/>
              <w:keepLines w:val="0"/>
              <w:pageBreakBefore w:val="0"/>
              <w:widowControl w:val="0"/>
              <w:shd w:val="clear"/>
              <w:kinsoku/>
              <w:wordWrap/>
              <w:overflowPunct w:val="0"/>
              <w:topLinePunct w:val="0"/>
              <w:autoSpaceDE/>
              <w:autoSpaceDN/>
              <w:bidi w:val="0"/>
              <w:adjustRightInd w:val="0"/>
              <w:snapToGrid w:val="0"/>
              <w:spacing w:line="0" w:lineRule="atLeast"/>
              <w:jc w:val="center"/>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r>
              <w:rPr>
                <w:rFonts w:hint="default" w:ascii="Times New Roman" w:hAnsi="Times New Roman" w:eastAsia="仿宋_GB2312" w:cs="Times New Roman"/>
                <w:b w:val="0"/>
                <w:bCs w:val="0"/>
                <w:color w:val="auto"/>
                <w:spacing w:val="0"/>
                <w:kern w:val="2"/>
                <w:sz w:val="28"/>
                <w:szCs w:val="28"/>
                <w:highlight w:val="none"/>
                <w:u w:val="none" w:color="auto"/>
                <w:lang w:eastAsia="zh-CN"/>
              </w:rPr>
              <w:t>民生福祉</w:t>
            </w:r>
          </w:p>
        </w:tc>
        <w:tc>
          <w:tcPr>
            <w:tcW w:w="2278" w:type="pct"/>
            <w:gridSpan w:val="2"/>
            <w:tcBorders>
              <w:left w:val="single" w:color="auto" w:sz="4" w:space="0"/>
            </w:tcBorders>
            <w:noWrap w:val="0"/>
            <w:tcMar>
              <w:left w:w="28" w:type="dxa"/>
              <w:right w:w="28" w:type="dxa"/>
            </w:tcMar>
            <w:vAlign w:val="center"/>
          </w:tcPr>
          <w:p w14:paraId="4BB3F463">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11.</w:t>
            </w:r>
            <w:r>
              <w:rPr>
                <w:rFonts w:hint="default" w:ascii="Times New Roman" w:hAnsi="Times New Roman" w:eastAsia="仿宋_GB2312" w:cs="Times New Roman"/>
                <w:color w:val="auto"/>
                <w:spacing w:val="0"/>
                <w:kern w:val="2"/>
                <w:sz w:val="28"/>
                <w:szCs w:val="28"/>
                <w:highlight w:val="none"/>
                <w:u w:val="none" w:color="auto"/>
              </w:rPr>
              <w:t>养老机构护理型床位占比（%）</w:t>
            </w:r>
          </w:p>
        </w:tc>
        <w:tc>
          <w:tcPr>
            <w:tcW w:w="466" w:type="pct"/>
            <w:tcBorders>
              <w:left w:val="single" w:color="auto" w:sz="4" w:space="0"/>
            </w:tcBorders>
            <w:noWrap w:val="0"/>
            <w:tcMar>
              <w:left w:w="28" w:type="dxa"/>
              <w:right w:w="28" w:type="dxa"/>
            </w:tcMar>
            <w:vAlign w:val="center"/>
          </w:tcPr>
          <w:p w14:paraId="136177EF">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65.5</w:t>
            </w:r>
          </w:p>
        </w:tc>
        <w:tc>
          <w:tcPr>
            <w:tcW w:w="678" w:type="pct"/>
            <w:tcBorders>
              <w:left w:val="single" w:color="auto" w:sz="4" w:space="0"/>
            </w:tcBorders>
            <w:noWrap w:val="0"/>
            <w:tcMar>
              <w:left w:w="28" w:type="dxa"/>
              <w:right w:w="28" w:type="dxa"/>
            </w:tcMar>
            <w:vAlign w:val="center"/>
          </w:tcPr>
          <w:p w14:paraId="405ED103">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80</w:t>
            </w:r>
          </w:p>
        </w:tc>
        <w:tc>
          <w:tcPr>
            <w:tcW w:w="670" w:type="pct"/>
            <w:tcBorders>
              <w:left w:val="single" w:color="auto" w:sz="4" w:space="0"/>
            </w:tcBorders>
            <w:noWrap w:val="0"/>
            <w:tcMar>
              <w:left w:w="28" w:type="dxa"/>
              <w:right w:w="28" w:type="dxa"/>
            </w:tcMar>
            <w:vAlign w:val="center"/>
          </w:tcPr>
          <w:p w14:paraId="1494B352">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w:t>
            </w:r>
          </w:p>
        </w:tc>
        <w:tc>
          <w:tcPr>
            <w:tcW w:w="567" w:type="pct"/>
            <w:tcBorders>
              <w:left w:val="single" w:color="auto" w:sz="4" w:space="0"/>
            </w:tcBorders>
            <w:noWrap w:val="0"/>
            <w:tcMar>
              <w:left w:w="28" w:type="dxa"/>
              <w:right w:w="28" w:type="dxa"/>
            </w:tcMar>
            <w:vAlign w:val="center"/>
          </w:tcPr>
          <w:p w14:paraId="34FD6D62">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630E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12A8B634">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0B5B3145">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12.</w:t>
            </w:r>
            <w:r>
              <w:rPr>
                <w:rFonts w:hint="eastAsia" w:ascii="Times New Roman" w:hAnsi="Times New Roman" w:cs="Times New Roman"/>
                <w:color w:val="auto"/>
                <w:spacing w:val="0"/>
                <w:kern w:val="2"/>
                <w:sz w:val="28"/>
                <w:szCs w:val="28"/>
                <w:highlight w:val="none"/>
                <w:u w:val="none" w:color="auto"/>
                <w:lang w:val="en-US" w:eastAsia="zh-CN"/>
              </w:rPr>
              <w:t>3岁以下婴幼儿入托率提高</w:t>
            </w:r>
            <w:r>
              <w:rPr>
                <w:rFonts w:hint="default" w:ascii="Times New Roman" w:hAnsi="Times New Roman" w:eastAsia="仿宋_GB2312" w:cs="Times New Roman"/>
                <w:color w:val="auto"/>
                <w:spacing w:val="0"/>
                <w:kern w:val="2"/>
                <w:sz w:val="28"/>
                <w:szCs w:val="28"/>
                <w:highlight w:val="none"/>
                <w:u w:val="none" w:color="auto"/>
              </w:rPr>
              <w:t>（%）</w:t>
            </w:r>
          </w:p>
        </w:tc>
        <w:tc>
          <w:tcPr>
            <w:tcW w:w="466" w:type="pct"/>
            <w:tcBorders>
              <w:left w:val="single" w:color="auto" w:sz="4" w:space="0"/>
            </w:tcBorders>
            <w:noWrap w:val="0"/>
            <w:tcMar>
              <w:left w:w="28" w:type="dxa"/>
              <w:right w:w="28" w:type="dxa"/>
            </w:tcMar>
            <w:vAlign w:val="center"/>
          </w:tcPr>
          <w:p w14:paraId="4EAC8BE1">
            <w:pPr>
              <w:keepNext w:val="0"/>
              <w:keepLines w:val="0"/>
              <w:pageBreakBefore w:val="0"/>
              <w:shd w:val="clear" w:color="auto" w:fill="auto"/>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w:t>
            </w:r>
          </w:p>
        </w:tc>
        <w:tc>
          <w:tcPr>
            <w:tcW w:w="678" w:type="pct"/>
            <w:tcBorders>
              <w:left w:val="single" w:color="auto" w:sz="4" w:space="0"/>
            </w:tcBorders>
            <w:noWrap w:val="0"/>
            <w:tcMar>
              <w:left w:w="28" w:type="dxa"/>
              <w:right w:w="28" w:type="dxa"/>
            </w:tcMar>
            <w:vAlign w:val="center"/>
          </w:tcPr>
          <w:p w14:paraId="495F3568">
            <w:pPr>
              <w:keepNext w:val="0"/>
              <w:keepLines w:val="0"/>
              <w:pageBreakBefore w:val="0"/>
              <w:shd w:val="clear" w:color="auto" w:fill="auto"/>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cs="Times New Roman"/>
                <w:color w:val="auto"/>
                <w:spacing w:val="0"/>
                <w:kern w:val="2"/>
                <w:sz w:val="28"/>
                <w:szCs w:val="28"/>
                <w:highlight w:val="none"/>
                <w:u w:val="none" w:color="auto"/>
                <w:lang w:val="en-US" w:eastAsia="zh-CN"/>
              </w:rPr>
              <w:t>—</w:t>
            </w:r>
          </w:p>
        </w:tc>
        <w:tc>
          <w:tcPr>
            <w:tcW w:w="670" w:type="pct"/>
            <w:tcBorders>
              <w:left w:val="single" w:color="auto" w:sz="4" w:space="0"/>
            </w:tcBorders>
            <w:noWrap w:val="0"/>
            <w:tcMar>
              <w:left w:w="28" w:type="dxa"/>
              <w:right w:w="28" w:type="dxa"/>
            </w:tcMar>
            <w:vAlign w:val="center"/>
          </w:tcPr>
          <w:p w14:paraId="46D01ABF">
            <w:pPr>
              <w:keepNext w:val="0"/>
              <w:keepLines w:val="0"/>
              <w:pageBreakBefore w:val="0"/>
              <w:shd w:val="clear" w:color="auto" w:fill="auto"/>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eastAsia" w:ascii="黑体" w:hAnsi="黑体" w:eastAsia="黑体" w:cs="黑体"/>
                <w:b w:val="0"/>
                <w:bCs w:val="0"/>
                <w:color w:val="auto"/>
                <w:spacing w:val="0"/>
                <w:kern w:val="2"/>
                <w:sz w:val="24"/>
                <w:szCs w:val="24"/>
                <w:highlight w:val="none"/>
                <w:u w:val="none" w:color="auto"/>
                <w:lang w:val="en-US" w:eastAsia="zh-CN"/>
              </w:rPr>
              <w:t>〔</w:t>
            </w:r>
            <w:r>
              <w:rPr>
                <w:rFonts w:hint="eastAsia" w:ascii="Times New Roman" w:hAnsi="Times New Roman" w:cs="Times New Roman"/>
                <w:color w:val="auto"/>
                <w:spacing w:val="0"/>
                <w:kern w:val="2"/>
                <w:sz w:val="28"/>
                <w:szCs w:val="28"/>
                <w:highlight w:val="none"/>
                <w:u w:val="none" w:color="auto"/>
                <w:lang w:val="en-US" w:eastAsia="zh-CN"/>
              </w:rPr>
              <w:t>6.5</w:t>
            </w:r>
            <w:r>
              <w:rPr>
                <w:rFonts w:hint="eastAsia" w:ascii="黑体" w:hAnsi="黑体" w:eastAsia="黑体" w:cs="黑体"/>
                <w:b w:val="0"/>
                <w:bCs w:val="0"/>
                <w:color w:val="auto"/>
                <w:spacing w:val="0"/>
                <w:kern w:val="2"/>
                <w:sz w:val="24"/>
                <w:szCs w:val="24"/>
                <w:highlight w:val="none"/>
                <w:u w:val="none" w:color="auto"/>
                <w:lang w:val="en-US" w:eastAsia="zh-CN"/>
              </w:rPr>
              <w:t>〕</w:t>
            </w:r>
          </w:p>
        </w:tc>
        <w:tc>
          <w:tcPr>
            <w:tcW w:w="567" w:type="pct"/>
            <w:tcBorders>
              <w:left w:val="single" w:color="auto" w:sz="4" w:space="0"/>
            </w:tcBorders>
            <w:noWrap w:val="0"/>
            <w:tcMar>
              <w:left w:w="28" w:type="dxa"/>
              <w:right w:w="28" w:type="dxa"/>
            </w:tcMar>
            <w:vAlign w:val="center"/>
          </w:tcPr>
          <w:p w14:paraId="4F6A7FA3">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7F37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7D2A63B8">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0F570879">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13.</w:t>
            </w:r>
            <w:r>
              <w:rPr>
                <w:rFonts w:hint="default" w:ascii="Times New Roman" w:hAnsi="Times New Roman" w:eastAsia="仿宋_GB2312" w:cs="Times New Roman"/>
                <w:color w:val="auto"/>
                <w:spacing w:val="0"/>
                <w:kern w:val="2"/>
                <w:sz w:val="28"/>
                <w:szCs w:val="28"/>
                <w:highlight w:val="none"/>
                <w:u w:val="none" w:color="auto"/>
              </w:rPr>
              <w:t>人均预期寿命（岁）</w:t>
            </w:r>
          </w:p>
        </w:tc>
        <w:tc>
          <w:tcPr>
            <w:tcW w:w="466" w:type="pct"/>
            <w:tcBorders>
              <w:left w:val="single" w:color="auto" w:sz="4" w:space="0"/>
            </w:tcBorders>
            <w:noWrap w:val="0"/>
            <w:tcMar>
              <w:left w:w="28" w:type="dxa"/>
              <w:right w:w="28" w:type="dxa"/>
            </w:tcMar>
            <w:vAlign w:val="center"/>
          </w:tcPr>
          <w:p w14:paraId="0F37600C">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80.1</w:t>
            </w:r>
          </w:p>
        </w:tc>
        <w:tc>
          <w:tcPr>
            <w:tcW w:w="678" w:type="pct"/>
            <w:tcBorders>
              <w:left w:val="single" w:color="auto" w:sz="4" w:space="0"/>
            </w:tcBorders>
            <w:noWrap w:val="0"/>
            <w:tcMar>
              <w:left w:w="28" w:type="dxa"/>
              <w:right w:w="28" w:type="dxa"/>
            </w:tcMar>
            <w:vAlign w:val="center"/>
          </w:tcPr>
          <w:p w14:paraId="1A321753">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81.1</w:t>
            </w:r>
          </w:p>
        </w:tc>
        <w:tc>
          <w:tcPr>
            <w:tcW w:w="670" w:type="pct"/>
            <w:tcBorders>
              <w:left w:val="single" w:color="auto" w:sz="4" w:space="0"/>
            </w:tcBorders>
            <w:noWrap w:val="0"/>
            <w:tcMar>
              <w:left w:w="28" w:type="dxa"/>
              <w:right w:w="28" w:type="dxa"/>
            </w:tcMar>
            <w:vAlign w:val="center"/>
          </w:tcPr>
          <w:p w14:paraId="1D6BD708">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楷体_GB2312" w:cs="Times New Roman"/>
                <w:i w:val="0"/>
                <w:iCs w:val="0"/>
                <w:color w:val="auto"/>
                <w:kern w:val="0"/>
                <w:sz w:val="28"/>
                <w:szCs w:val="28"/>
                <w:highlight w:val="none"/>
                <w:u w:val="none"/>
                <w:lang w:val="en-US" w:eastAsia="zh-CN" w:bidi="ar"/>
              </w:rPr>
              <w:t>—</w:t>
            </w:r>
          </w:p>
        </w:tc>
        <w:tc>
          <w:tcPr>
            <w:tcW w:w="567" w:type="pct"/>
            <w:tcBorders>
              <w:left w:val="single" w:color="auto" w:sz="4" w:space="0"/>
            </w:tcBorders>
            <w:noWrap w:val="0"/>
            <w:tcMar>
              <w:left w:w="28" w:type="dxa"/>
              <w:right w:w="28" w:type="dxa"/>
            </w:tcMar>
            <w:vAlign w:val="center"/>
          </w:tcPr>
          <w:p w14:paraId="07ED001C">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预期性</w:t>
            </w:r>
          </w:p>
        </w:tc>
      </w:tr>
      <w:tr w14:paraId="6797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restart"/>
            <w:tcBorders>
              <w:left w:val="single" w:color="auto" w:sz="4" w:space="0"/>
            </w:tcBorders>
            <w:noWrap w:val="0"/>
            <w:tcMar>
              <w:left w:w="28" w:type="dxa"/>
              <w:right w:w="28" w:type="dxa"/>
            </w:tcMar>
            <w:vAlign w:val="center"/>
          </w:tcPr>
          <w:p w14:paraId="43424EC2">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center"/>
              <w:textAlignment w:val="baseline"/>
              <w:rPr>
                <w:rFonts w:hint="eastAsia" w:ascii="Times New Roman" w:hAnsi="Times New Roman" w:cs="Times New Roman"/>
                <w:b w:val="0"/>
                <w:bCs w:val="0"/>
                <w:color w:val="auto"/>
                <w:spacing w:val="0"/>
                <w:kern w:val="2"/>
                <w:sz w:val="28"/>
                <w:szCs w:val="28"/>
                <w:highlight w:val="none"/>
                <w:u w:val="none" w:color="auto"/>
                <w:lang w:val="en-US" w:eastAsia="zh-CN"/>
              </w:rPr>
            </w:pPr>
            <w:r>
              <w:rPr>
                <w:rFonts w:hint="default" w:ascii="Times New Roman" w:hAnsi="Times New Roman" w:eastAsia="仿宋_GB2312" w:cs="Times New Roman"/>
                <w:b w:val="0"/>
                <w:bCs w:val="0"/>
                <w:color w:val="auto"/>
                <w:spacing w:val="0"/>
                <w:kern w:val="2"/>
                <w:sz w:val="28"/>
                <w:szCs w:val="28"/>
                <w:highlight w:val="none"/>
                <w:u w:val="none" w:color="auto"/>
                <w:lang w:val="en-US" w:eastAsia="zh-CN"/>
              </w:rPr>
              <w:t>绿色生态</w:t>
            </w:r>
          </w:p>
        </w:tc>
        <w:tc>
          <w:tcPr>
            <w:tcW w:w="2278" w:type="pct"/>
            <w:gridSpan w:val="2"/>
            <w:tcBorders>
              <w:left w:val="single" w:color="auto" w:sz="4" w:space="0"/>
            </w:tcBorders>
            <w:noWrap w:val="0"/>
            <w:tcMar>
              <w:left w:w="28" w:type="dxa"/>
              <w:right w:w="28" w:type="dxa"/>
            </w:tcMar>
            <w:vAlign w:val="center"/>
          </w:tcPr>
          <w:p w14:paraId="0240DA9A">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14</w:t>
            </w:r>
            <w:r>
              <w:rPr>
                <w:rFonts w:hint="default" w:ascii="Times New Roman" w:hAnsi="Times New Roman" w:eastAsia="仿宋_GB2312" w:cs="Times New Roman"/>
                <w:color w:val="auto"/>
                <w:spacing w:val="0"/>
                <w:kern w:val="2"/>
                <w:sz w:val="28"/>
                <w:szCs w:val="28"/>
                <w:highlight w:val="none"/>
                <w:u w:val="none" w:color="auto"/>
                <w:lang w:val="en-US" w:eastAsia="zh-CN"/>
              </w:rPr>
              <w:t>.</w:t>
            </w:r>
            <w:r>
              <w:rPr>
                <w:rFonts w:hint="default" w:ascii="Times New Roman" w:hAnsi="Times New Roman" w:eastAsia="仿宋_GB2312" w:cs="Times New Roman"/>
                <w:color w:val="auto"/>
                <w:spacing w:val="0"/>
                <w:kern w:val="2"/>
                <w:sz w:val="28"/>
                <w:szCs w:val="28"/>
                <w:highlight w:val="none"/>
                <w:u w:val="none" w:color="auto"/>
              </w:rPr>
              <w:t>非化石</w:t>
            </w:r>
            <w:r>
              <w:rPr>
                <w:rFonts w:hint="default" w:ascii="Times New Roman" w:hAnsi="Times New Roman" w:eastAsia="仿宋_GB2312" w:cs="Times New Roman"/>
                <w:color w:val="auto"/>
                <w:spacing w:val="0"/>
                <w:kern w:val="2"/>
                <w:sz w:val="28"/>
                <w:szCs w:val="28"/>
                <w:highlight w:val="none"/>
                <w:u w:val="none" w:color="auto"/>
                <w:lang w:eastAsia="zh-CN"/>
              </w:rPr>
              <w:t>能源</w:t>
            </w:r>
            <w:r>
              <w:rPr>
                <w:rFonts w:hint="default" w:ascii="Times New Roman" w:hAnsi="Times New Roman" w:eastAsia="仿宋_GB2312" w:cs="Times New Roman"/>
                <w:color w:val="auto"/>
                <w:spacing w:val="0"/>
                <w:kern w:val="2"/>
                <w:sz w:val="28"/>
                <w:szCs w:val="28"/>
                <w:highlight w:val="none"/>
                <w:u w:val="none" w:color="auto"/>
              </w:rPr>
              <w:t>占能源消费总量比重（%）</w:t>
            </w:r>
          </w:p>
        </w:tc>
        <w:tc>
          <w:tcPr>
            <w:tcW w:w="466" w:type="pct"/>
            <w:tcBorders>
              <w:left w:val="single" w:color="auto" w:sz="4" w:space="0"/>
            </w:tcBorders>
            <w:noWrap w:val="0"/>
            <w:tcMar>
              <w:left w:w="28" w:type="dxa"/>
              <w:right w:w="28" w:type="dxa"/>
            </w:tcMar>
            <w:vAlign w:val="center"/>
          </w:tcPr>
          <w:p w14:paraId="583B1C4D">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Style w:val="25"/>
                <w:rFonts w:hint="default" w:ascii="Times New Roman" w:hAnsi="Times New Roman" w:cs="Times New Roman"/>
                <w:color w:val="auto"/>
                <w:highlight w:val="none"/>
                <w:lang w:val="en-US" w:eastAsia="zh-CN" w:bidi="ar"/>
              </w:rPr>
            </w:pPr>
            <w:r>
              <w:rPr>
                <w:rFonts w:hint="eastAsia" w:ascii="Times New Roman" w:hAnsi="Times New Roman" w:cs="Times New Roman"/>
                <w:i w:val="0"/>
                <w:iCs w:val="0"/>
                <w:color w:val="auto"/>
                <w:kern w:val="0"/>
                <w:sz w:val="28"/>
                <w:szCs w:val="28"/>
                <w:highlight w:val="none"/>
                <w:u w:val="none"/>
                <w:lang w:val="en-US" w:eastAsia="zh-CN" w:bidi="ar"/>
              </w:rPr>
              <w:t>30.4</w:t>
            </w:r>
          </w:p>
        </w:tc>
        <w:tc>
          <w:tcPr>
            <w:tcW w:w="678" w:type="pct"/>
            <w:vMerge w:val="restart"/>
            <w:tcBorders>
              <w:left w:val="single" w:color="auto" w:sz="4" w:space="0"/>
            </w:tcBorders>
            <w:noWrap w:val="0"/>
            <w:tcMar>
              <w:left w:w="28" w:type="dxa"/>
              <w:right w:w="28" w:type="dxa"/>
            </w:tcMar>
            <w:vAlign w:val="center"/>
          </w:tcPr>
          <w:p w14:paraId="20787C2C">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eastAsia" w:ascii="Times New Roman" w:hAnsi="Times New Roman" w:eastAsia="楷体_GB2312" w:cs="Times New Roman"/>
                <w:i w:val="0"/>
                <w:iCs w:val="0"/>
                <w:color w:val="auto"/>
                <w:kern w:val="0"/>
                <w:sz w:val="28"/>
                <w:szCs w:val="28"/>
                <w:highlight w:val="none"/>
                <w:u w:val="none"/>
                <w:lang w:val="en-US" w:eastAsia="zh-CN" w:bidi="ar"/>
              </w:rPr>
            </w:pPr>
            <w:r>
              <w:rPr>
                <w:rFonts w:hint="eastAsia" w:ascii="Times New Roman" w:hAnsi="Times New Roman" w:eastAsia="楷体_GB2312" w:cs="Times New Roman"/>
                <w:i w:val="0"/>
                <w:iCs w:val="0"/>
                <w:color w:val="auto"/>
                <w:kern w:val="0"/>
                <w:sz w:val="28"/>
                <w:szCs w:val="28"/>
                <w:highlight w:val="none"/>
                <w:u w:val="none"/>
                <w:lang w:val="en-US" w:eastAsia="zh-CN" w:bidi="ar"/>
              </w:rPr>
              <w:t>完成市</w:t>
            </w:r>
          </w:p>
          <w:p w14:paraId="0047CA22">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楷体_GB2312" w:cs="Times New Roman"/>
                <w:i w:val="0"/>
                <w:iCs w:val="0"/>
                <w:color w:val="auto"/>
                <w:kern w:val="0"/>
                <w:sz w:val="28"/>
                <w:szCs w:val="28"/>
                <w:highlight w:val="none"/>
                <w:u w:val="none"/>
                <w:lang w:val="en-US" w:eastAsia="zh-CN" w:bidi="ar"/>
              </w:rPr>
            </w:pPr>
            <w:r>
              <w:rPr>
                <w:rFonts w:hint="eastAsia" w:ascii="Times New Roman" w:hAnsi="Times New Roman" w:eastAsia="楷体_GB2312" w:cs="Times New Roman"/>
                <w:i w:val="0"/>
                <w:iCs w:val="0"/>
                <w:color w:val="auto"/>
                <w:kern w:val="0"/>
                <w:sz w:val="28"/>
                <w:szCs w:val="28"/>
                <w:highlight w:val="none"/>
                <w:u w:val="none"/>
                <w:lang w:val="en-US" w:eastAsia="zh-CN" w:bidi="ar"/>
              </w:rPr>
              <w:t>分解任务</w:t>
            </w:r>
          </w:p>
        </w:tc>
        <w:tc>
          <w:tcPr>
            <w:tcW w:w="670" w:type="pct"/>
            <w:tcBorders>
              <w:left w:val="single" w:color="auto" w:sz="4" w:space="0"/>
            </w:tcBorders>
            <w:noWrap w:val="0"/>
            <w:tcMar>
              <w:left w:w="28" w:type="dxa"/>
              <w:right w:w="28" w:type="dxa"/>
            </w:tcMar>
            <w:vAlign w:val="center"/>
          </w:tcPr>
          <w:p w14:paraId="5493B878">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楷体_GB2312" w:cs="Times New Roman"/>
                <w:i w:val="0"/>
                <w:iCs w:val="0"/>
                <w:color w:val="auto"/>
                <w:kern w:val="0"/>
                <w:sz w:val="28"/>
                <w:szCs w:val="28"/>
                <w:highlight w:val="none"/>
                <w:u w:val="none"/>
                <w:lang w:val="en-US" w:eastAsia="zh-CN" w:bidi="ar"/>
              </w:rPr>
            </w:pPr>
            <w:r>
              <w:rPr>
                <w:rFonts w:hint="default" w:ascii="Times New Roman" w:hAnsi="Times New Roman" w:eastAsia="楷体_GB2312" w:cs="Times New Roman"/>
                <w:i w:val="0"/>
                <w:iCs w:val="0"/>
                <w:color w:val="auto"/>
                <w:kern w:val="0"/>
                <w:sz w:val="28"/>
                <w:szCs w:val="28"/>
                <w:highlight w:val="none"/>
                <w:u w:val="none"/>
                <w:lang w:val="en-US" w:eastAsia="zh-CN" w:bidi="ar"/>
              </w:rPr>
              <w:t>—</w:t>
            </w:r>
          </w:p>
        </w:tc>
        <w:tc>
          <w:tcPr>
            <w:tcW w:w="567" w:type="pct"/>
            <w:tcBorders>
              <w:left w:val="single" w:color="auto" w:sz="4" w:space="0"/>
            </w:tcBorders>
            <w:noWrap w:val="0"/>
            <w:tcMar>
              <w:left w:w="28" w:type="dxa"/>
              <w:right w:w="28" w:type="dxa"/>
            </w:tcMar>
            <w:vAlign w:val="center"/>
          </w:tcPr>
          <w:p w14:paraId="6F3ABB3C">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仿宋_GB2312" w:cs="Times New Roman"/>
                <w:i w:val="0"/>
                <w:iCs w:val="0"/>
                <w:color w:val="auto"/>
                <w:kern w:val="0"/>
                <w:sz w:val="28"/>
                <w:szCs w:val="28"/>
                <w:highlight w:val="none"/>
                <w:u w:val="none"/>
                <w:lang w:val="en-US" w:eastAsia="zh-CN" w:bidi="ar"/>
              </w:rPr>
              <w:t>约束性</w:t>
            </w:r>
          </w:p>
        </w:tc>
      </w:tr>
      <w:tr w14:paraId="3545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311B907B">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60BF85D4">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1</w:t>
            </w:r>
            <w:r>
              <w:rPr>
                <w:rFonts w:hint="eastAsia" w:ascii="Times New Roman" w:hAnsi="Times New Roman" w:cs="Times New Roman"/>
                <w:color w:val="auto"/>
                <w:spacing w:val="0"/>
                <w:kern w:val="2"/>
                <w:sz w:val="28"/>
                <w:szCs w:val="28"/>
                <w:highlight w:val="none"/>
                <w:u w:val="none" w:color="auto"/>
                <w:lang w:val="en-US" w:eastAsia="zh-CN"/>
              </w:rPr>
              <w:t>5</w:t>
            </w:r>
            <w:r>
              <w:rPr>
                <w:rFonts w:hint="default" w:ascii="Times New Roman" w:hAnsi="Times New Roman" w:eastAsia="仿宋_GB2312" w:cs="Times New Roman"/>
                <w:color w:val="auto"/>
                <w:spacing w:val="0"/>
                <w:kern w:val="2"/>
                <w:sz w:val="28"/>
                <w:szCs w:val="28"/>
                <w:highlight w:val="none"/>
                <w:u w:val="none" w:color="auto"/>
                <w:lang w:val="en-US" w:eastAsia="zh-CN"/>
              </w:rPr>
              <w:t>.</w:t>
            </w:r>
            <w:r>
              <w:rPr>
                <w:rFonts w:hint="default" w:ascii="Times New Roman" w:hAnsi="Times New Roman" w:eastAsia="仿宋_GB2312" w:cs="Times New Roman"/>
                <w:color w:val="auto"/>
                <w:spacing w:val="0"/>
                <w:kern w:val="2"/>
                <w:sz w:val="28"/>
                <w:szCs w:val="28"/>
                <w:highlight w:val="none"/>
                <w:u w:val="none" w:color="auto"/>
              </w:rPr>
              <w:t>单位GDP二氧化碳排放降低（%）</w:t>
            </w:r>
          </w:p>
        </w:tc>
        <w:tc>
          <w:tcPr>
            <w:tcW w:w="466" w:type="pct"/>
            <w:tcBorders>
              <w:left w:val="single" w:color="auto" w:sz="4" w:space="0"/>
            </w:tcBorders>
            <w:noWrap w:val="0"/>
            <w:tcMar>
              <w:left w:w="28" w:type="dxa"/>
              <w:right w:w="28" w:type="dxa"/>
            </w:tcMar>
            <w:vAlign w:val="center"/>
          </w:tcPr>
          <w:p w14:paraId="7292E256">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Style w:val="25"/>
                <w:rFonts w:hint="default" w:ascii="Times New Roman" w:hAnsi="Times New Roman" w:cs="Times New Roman"/>
                <w:color w:val="auto"/>
                <w:highlight w:val="none"/>
                <w:lang w:val="en-US" w:eastAsia="zh-CN" w:bidi="ar"/>
              </w:rPr>
            </w:pPr>
            <w:r>
              <w:rPr>
                <w:rFonts w:hint="default" w:ascii="Times New Roman" w:hAnsi="Times New Roman" w:eastAsia="楷体_GB2312" w:cs="Times New Roman"/>
                <w:i w:val="0"/>
                <w:iCs w:val="0"/>
                <w:color w:val="auto"/>
                <w:kern w:val="0"/>
                <w:sz w:val="28"/>
                <w:szCs w:val="28"/>
                <w:highlight w:val="none"/>
                <w:u w:val="none"/>
                <w:lang w:val="en-US" w:eastAsia="zh-CN" w:bidi="ar"/>
              </w:rPr>
              <w:t>完成</w:t>
            </w:r>
            <w:r>
              <w:rPr>
                <w:rStyle w:val="25"/>
                <w:rFonts w:hint="default" w:ascii="Times New Roman" w:hAnsi="Times New Roman" w:cs="Times New Roman"/>
                <w:color w:val="auto"/>
                <w:highlight w:val="none"/>
                <w:lang w:val="en-US" w:eastAsia="zh-CN" w:bidi="ar"/>
              </w:rPr>
              <w:t>市</w:t>
            </w:r>
          </w:p>
          <w:p w14:paraId="09710C01">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Style w:val="25"/>
                <w:rFonts w:hint="default" w:ascii="Times New Roman" w:hAnsi="Times New Roman" w:cs="Times New Roman"/>
                <w:color w:val="auto"/>
                <w:highlight w:val="none"/>
                <w:lang w:val="en-US" w:eastAsia="zh-CN" w:bidi="ar"/>
              </w:rPr>
              <w:t>分解任务</w:t>
            </w:r>
          </w:p>
        </w:tc>
        <w:tc>
          <w:tcPr>
            <w:tcW w:w="678" w:type="pct"/>
            <w:vMerge w:val="continue"/>
            <w:tcBorders>
              <w:left w:val="single" w:color="auto" w:sz="4" w:space="0"/>
            </w:tcBorders>
            <w:noWrap w:val="0"/>
            <w:tcMar>
              <w:left w:w="28" w:type="dxa"/>
              <w:right w:w="28" w:type="dxa"/>
            </w:tcMar>
            <w:vAlign w:val="center"/>
          </w:tcPr>
          <w:p w14:paraId="08C6DB52">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rPr>
            </w:pPr>
          </w:p>
        </w:tc>
        <w:tc>
          <w:tcPr>
            <w:tcW w:w="670" w:type="pct"/>
            <w:tcBorders>
              <w:left w:val="single" w:color="auto" w:sz="4" w:space="0"/>
            </w:tcBorders>
            <w:noWrap w:val="0"/>
            <w:tcMar>
              <w:left w:w="28" w:type="dxa"/>
              <w:right w:w="28" w:type="dxa"/>
            </w:tcMar>
            <w:vAlign w:val="center"/>
          </w:tcPr>
          <w:p w14:paraId="23F102E1">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楷体_GB2312" w:cs="Times New Roman"/>
                <w:i w:val="0"/>
                <w:iCs w:val="0"/>
                <w:color w:val="auto"/>
                <w:kern w:val="0"/>
                <w:sz w:val="28"/>
                <w:szCs w:val="28"/>
                <w:highlight w:val="none"/>
                <w:u w:val="none"/>
                <w:lang w:val="en-US" w:eastAsia="zh-CN" w:bidi="ar"/>
              </w:rPr>
              <w:t>—</w:t>
            </w:r>
          </w:p>
        </w:tc>
        <w:tc>
          <w:tcPr>
            <w:tcW w:w="567" w:type="pct"/>
            <w:tcBorders>
              <w:left w:val="single" w:color="auto" w:sz="4" w:space="0"/>
            </w:tcBorders>
            <w:noWrap w:val="0"/>
            <w:tcMar>
              <w:left w:w="28" w:type="dxa"/>
              <w:right w:w="28" w:type="dxa"/>
            </w:tcMar>
            <w:vAlign w:val="center"/>
          </w:tcPr>
          <w:p w14:paraId="7CC3528F">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i w:val="0"/>
                <w:iCs w:val="0"/>
                <w:color w:val="auto"/>
                <w:kern w:val="0"/>
                <w:sz w:val="28"/>
                <w:szCs w:val="28"/>
                <w:highlight w:val="none"/>
                <w:u w:val="none"/>
                <w:lang w:val="en-US" w:eastAsia="zh-CN" w:bidi="ar"/>
              </w:rPr>
              <w:t>约束性</w:t>
            </w:r>
          </w:p>
        </w:tc>
      </w:tr>
      <w:tr w14:paraId="3DD5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17325742">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1B219A83">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16.</w:t>
            </w:r>
            <w:r>
              <w:rPr>
                <w:rFonts w:hint="eastAsia" w:ascii="Times New Roman" w:hAnsi="Times New Roman" w:cs="Times New Roman"/>
                <w:color w:val="auto"/>
                <w:spacing w:val="0"/>
                <w:kern w:val="2"/>
                <w:sz w:val="28"/>
                <w:szCs w:val="28"/>
                <w:highlight w:val="none"/>
                <w:u w:val="none" w:color="auto"/>
                <w:lang w:val="en-US" w:eastAsia="zh-CN"/>
              </w:rPr>
              <w:t>细</w:t>
            </w:r>
            <w:r>
              <w:rPr>
                <w:rFonts w:hint="default" w:ascii="Times New Roman" w:hAnsi="Times New Roman" w:eastAsia="仿宋_GB2312" w:cs="Times New Roman"/>
                <w:color w:val="auto"/>
                <w:spacing w:val="0"/>
                <w:kern w:val="2"/>
                <w:sz w:val="28"/>
                <w:szCs w:val="28"/>
                <w:highlight w:val="none"/>
                <w:u w:val="none" w:color="auto"/>
              </w:rPr>
              <w:t>颗粒物（PM</w:t>
            </w:r>
            <w:r>
              <w:rPr>
                <w:rFonts w:hint="default" w:ascii="Times New Roman" w:hAnsi="Times New Roman" w:eastAsia="仿宋_GB2312" w:cs="Times New Roman"/>
                <w:color w:val="auto"/>
                <w:spacing w:val="0"/>
                <w:kern w:val="2"/>
                <w:sz w:val="28"/>
                <w:szCs w:val="28"/>
                <w:highlight w:val="none"/>
                <w:u w:val="none" w:color="auto"/>
                <w:vertAlign w:val="subscript"/>
              </w:rPr>
              <w:t>2.5</w:t>
            </w:r>
            <w:r>
              <w:rPr>
                <w:rFonts w:hint="default" w:ascii="Times New Roman" w:hAnsi="Times New Roman" w:eastAsia="仿宋_GB2312" w:cs="Times New Roman"/>
                <w:color w:val="auto"/>
                <w:spacing w:val="0"/>
                <w:kern w:val="2"/>
                <w:sz w:val="28"/>
                <w:szCs w:val="28"/>
                <w:highlight w:val="none"/>
                <w:u w:val="none" w:color="auto"/>
              </w:rPr>
              <w:t>）浓度（微克/立方米）</w:t>
            </w:r>
          </w:p>
        </w:tc>
        <w:tc>
          <w:tcPr>
            <w:tcW w:w="466" w:type="pct"/>
            <w:tcBorders>
              <w:left w:val="single" w:color="auto" w:sz="4" w:space="0"/>
            </w:tcBorders>
            <w:noWrap w:val="0"/>
            <w:tcMar>
              <w:left w:w="28" w:type="dxa"/>
              <w:right w:w="28" w:type="dxa"/>
            </w:tcMar>
            <w:vAlign w:val="center"/>
          </w:tcPr>
          <w:p w14:paraId="05A8F01D">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40</w:t>
            </w:r>
          </w:p>
        </w:tc>
        <w:tc>
          <w:tcPr>
            <w:tcW w:w="678" w:type="pct"/>
            <w:vMerge w:val="continue"/>
            <w:tcBorders>
              <w:left w:val="single" w:color="auto" w:sz="4" w:space="0"/>
            </w:tcBorders>
            <w:noWrap w:val="0"/>
            <w:tcMar>
              <w:left w:w="28" w:type="dxa"/>
              <w:right w:w="28" w:type="dxa"/>
            </w:tcMar>
            <w:vAlign w:val="center"/>
          </w:tcPr>
          <w:p w14:paraId="2A224ED9">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z w:val="28"/>
                <w:szCs w:val="28"/>
                <w:highlight w:val="none"/>
                <w:u w:val="none" w:color="auto"/>
              </w:rPr>
            </w:pPr>
          </w:p>
        </w:tc>
        <w:tc>
          <w:tcPr>
            <w:tcW w:w="670" w:type="pct"/>
            <w:tcBorders>
              <w:left w:val="single" w:color="auto" w:sz="4" w:space="0"/>
            </w:tcBorders>
            <w:noWrap w:val="0"/>
            <w:tcMar>
              <w:left w:w="28" w:type="dxa"/>
              <w:right w:w="28" w:type="dxa"/>
            </w:tcMar>
            <w:vAlign w:val="center"/>
          </w:tcPr>
          <w:p w14:paraId="7CE6E3F3">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cs="Times New Roman"/>
                <w:color w:val="auto"/>
                <w:spacing w:val="0"/>
                <w:kern w:val="2"/>
                <w:sz w:val="28"/>
                <w:szCs w:val="28"/>
                <w:highlight w:val="none"/>
                <w:u w:val="none" w:color="auto"/>
                <w:lang w:eastAsia="zh-CN"/>
              </w:rPr>
              <w:t>—</w:t>
            </w:r>
          </w:p>
        </w:tc>
        <w:tc>
          <w:tcPr>
            <w:tcW w:w="567" w:type="pct"/>
            <w:tcBorders>
              <w:left w:val="single" w:color="auto" w:sz="4" w:space="0"/>
            </w:tcBorders>
            <w:noWrap w:val="0"/>
            <w:tcMar>
              <w:left w:w="28" w:type="dxa"/>
              <w:right w:w="28" w:type="dxa"/>
            </w:tcMar>
            <w:vAlign w:val="center"/>
          </w:tcPr>
          <w:p w14:paraId="649C6E37">
            <w:pPr>
              <w:keepNext w:val="0"/>
              <w:keepLines w:val="0"/>
              <w:pageBreakBefore w:val="0"/>
              <w:shd w:val="clear"/>
              <w:kinsoku/>
              <w:wordWrap/>
              <w:topLinePunct w:val="0"/>
              <w:autoSpaceDE/>
              <w:autoSpaceDN/>
              <w:bidi w:val="0"/>
              <w:snapToGrid w:val="0"/>
              <w:spacing w:line="0" w:lineRule="atLeast"/>
              <w:ind w:left="0" w:leftChars="0" w:right="0" w:rightChars="0" w:firstLine="0" w:firstLineChars="0"/>
              <w:jc w:val="center"/>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i w:val="0"/>
                <w:iCs w:val="0"/>
                <w:color w:val="auto"/>
                <w:kern w:val="0"/>
                <w:sz w:val="28"/>
                <w:szCs w:val="28"/>
                <w:highlight w:val="none"/>
                <w:u w:val="none"/>
                <w:lang w:val="en-US" w:eastAsia="zh-CN" w:bidi="ar"/>
              </w:rPr>
              <w:t>约束性</w:t>
            </w:r>
          </w:p>
        </w:tc>
      </w:tr>
      <w:tr w14:paraId="1FB5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7ABC5700">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6648AD58">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17.</w:t>
            </w:r>
            <w:r>
              <w:rPr>
                <w:rFonts w:hint="default" w:ascii="Times New Roman" w:hAnsi="Times New Roman" w:eastAsia="仿宋_GB2312" w:cs="Times New Roman"/>
                <w:color w:val="auto"/>
                <w:spacing w:val="0"/>
                <w:kern w:val="2"/>
                <w:sz w:val="28"/>
                <w:szCs w:val="28"/>
                <w:highlight w:val="none"/>
                <w:u w:val="none" w:color="auto"/>
              </w:rPr>
              <w:t>优良水体比例（%）</w:t>
            </w:r>
          </w:p>
        </w:tc>
        <w:tc>
          <w:tcPr>
            <w:tcW w:w="466" w:type="pct"/>
            <w:tcBorders>
              <w:left w:val="single" w:color="auto" w:sz="4" w:space="0"/>
            </w:tcBorders>
            <w:noWrap w:val="0"/>
            <w:tcMar>
              <w:left w:w="28" w:type="dxa"/>
              <w:right w:w="28" w:type="dxa"/>
            </w:tcMar>
            <w:vAlign w:val="center"/>
          </w:tcPr>
          <w:p w14:paraId="268809A4">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eastAsia="仿宋_GB2312" w:cs="Times New Roman"/>
                <w:i w:val="0"/>
                <w:iCs w:val="0"/>
                <w:color w:val="auto"/>
                <w:kern w:val="0"/>
                <w:sz w:val="28"/>
                <w:szCs w:val="28"/>
                <w:highlight w:val="none"/>
                <w:u w:val="none"/>
                <w:lang w:val="en-US" w:eastAsia="zh-CN" w:bidi="ar"/>
              </w:rPr>
              <w:t>—</w:t>
            </w:r>
          </w:p>
        </w:tc>
        <w:tc>
          <w:tcPr>
            <w:tcW w:w="678" w:type="pct"/>
            <w:vMerge w:val="continue"/>
            <w:tcBorders>
              <w:left w:val="single" w:color="auto" w:sz="4" w:space="0"/>
            </w:tcBorders>
            <w:noWrap w:val="0"/>
            <w:tcMar>
              <w:left w:w="28" w:type="dxa"/>
              <w:right w:w="28" w:type="dxa"/>
            </w:tcMar>
            <w:vAlign w:val="center"/>
          </w:tcPr>
          <w:p w14:paraId="67A910D3">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z w:val="28"/>
                <w:szCs w:val="28"/>
                <w:highlight w:val="none"/>
                <w:u w:val="none" w:color="auto"/>
              </w:rPr>
            </w:pPr>
          </w:p>
        </w:tc>
        <w:tc>
          <w:tcPr>
            <w:tcW w:w="670" w:type="pct"/>
            <w:tcBorders>
              <w:left w:val="single" w:color="auto" w:sz="4" w:space="0"/>
            </w:tcBorders>
            <w:noWrap w:val="0"/>
            <w:tcMar>
              <w:left w:w="28" w:type="dxa"/>
              <w:right w:w="28" w:type="dxa"/>
            </w:tcMar>
            <w:vAlign w:val="center"/>
          </w:tcPr>
          <w:p w14:paraId="08ACB946">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i w:val="0"/>
                <w:iCs w:val="0"/>
                <w:color w:val="auto"/>
                <w:kern w:val="0"/>
                <w:sz w:val="28"/>
                <w:szCs w:val="28"/>
                <w:highlight w:val="none"/>
                <w:u w:val="none"/>
                <w:lang w:val="en-US" w:eastAsia="zh-CN" w:bidi="ar"/>
              </w:rPr>
              <w:t>—</w:t>
            </w:r>
          </w:p>
        </w:tc>
        <w:tc>
          <w:tcPr>
            <w:tcW w:w="567" w:type="pct"/>
            <w:tcBorders>
              <w:left w:val="single" w:color="auto" w:sz="4" w:space="0"/>
            </w:tcBorders>
            <w:noWrap w:val="0"/>
            <w:tcMar>
              <w:left w:w="28" w:type="dxa"/>
              <w:right w:w="28" w:type="dxa"/>
            </w:tcMar>
            <w:vAlign w:val="center"/>
          </w:tcPr>
          <w:p w14:paraId="111BAFFB">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i w:val="0"/>
                <w:iCs w:val="0"/>
                <w:color w:val="auto"/>
                <w:kern w:val="0"/>
                <w:sz w:val="28"/>
                <w:szCs w:val="28"/>
                <w:highlight w:val="none"/>
                <w:u w:val="none"/>
                <w:lang w:val="en-US" w:eastAsia="zh-CN" w:bidi="ar"/>
              </w:rPr>
              <w:t>约束性</w:t>
            </w:r>
          </w:p>
        </w:tc>
      </w:tr>
      <w:tr w14:paraId="6357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57B692F5">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1D815C02">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lang w:val="en-US" w:eastAsia="zh-CN"/>
              </w:rPr>
              <w:t>18.</w:t>
            </w:r>
            <w:r>
              <w:rPr>
                <w:rFonts w:hint="default" w:ascii="Times New Roman" w:hAnsi="Times New Roman" w:eastAsia="仿宋_GB2312" w:cs="Times New Roman"/>
                <w:color w:val="auto"/>
                <w:spacing w:val="0"/>
                <w:kern w:val="2"/>
                <w:sz w:val="28"/>
                <w:szCs w:val="28"/>
                <w:highlight w:val="none"/>
                <w:u w:val="none" w:color="auto"/>
              </w:rPr>
              <w:t>森林覆盖率（%）</w:t>
            </w:r>
          </w:p>
        </w:tc>
        <w:tc>
          <w:tcPr>
            <w:tcW w:w="466" w:type="pct"/>
            <w:tcBorders>
              <w:left w:val="single" w:color="auto" w:sz="4" w:space="0"/>
            </w:tcBorders>
            <w:noWrap w:val="0"/>
            <w:tcMar>
              <w:left w:w="28" w:type="dxa"/>
              <w:right w:w="28" w:type="dxa"/>
            </w:tcMar>
            <w:vAlign w:val="center"/>
          </w:tcPr>
          <w:p w14:paraId="1CE76143">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5.69</w:t>
            </w:r>
          </w:p>
        </w:tc>
        <w:tc>
          <w:tcPr>
            <w:tcW w:w="678" w:type="pct"/>
            <w:tcBorders>
              <w:left w:val="single" w:color="auto" w:sz="4" w:space="0"/>
            </w:tcBorders>
            <w:shd w:val="clear" w:color="auto" w:fill="auto"/>
            <w:noWrap w:val="0"/>
            <w:tcMar>
              <w:left w:w="28" w:type="dxa"/>
              <w:right w:w="28" w:type="dxa"/>
            </w:tcMar>
            <w:vAlign w:val="center"/>
          </w:tcPr>
          <w:p w14:paraId="2B06655A">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eastAsia" w:ascii="Times New Roman" w:hAnsi="Times New Roman" w:eastAsia="仿宋_GB2312" w:cs="Times New Roman"/>
                <w:color w:val="auto"/>
                <w:sz w:val="28"/>
                <w:szCs w:val="28"/>
                <w:highlight w:val="none"/>
                <w:u w:val="none" w:color="auto"/>
                <w:lang w:eastAsia="zh-CN"/>
              </w:rPr>
            </w:pPr>
            <w:r>
              <w:rPr>
                <w:rFonts w:hint="eastAsia" w:ascii="Times New Roman" w:hAnsi="Times New Roman" w:eastAsia="楷体_GB2312" w:cs="Times New Roman"/>
                <w:i w:val="0"/>
                <w:iCs w:val="0"/>
                <w:color w:val="auto"/>
                <w:kern w:val="0"/>
                <w:sz w:val="28"/>
                <w:szCs w:val="28"/>
                <w:highlight w:val="none"/>
                <w:u w:val="none"/>
                <w:lang w:val="en-US" w:eastAsia="zh-CN" w:bidi="ar"/>
              </w:rPr>
              <w:t>完成上级下达任务目标</w:t>
            </w:r>
          </w:p>
        </w:tc>
        <w:tc>
          <w:tcPr>
            <w:tcW w:w="670" w:type="pct"/>
            <w:tcBorders>
              <w:left w:val="single" w:color="auto" w:sz="4" w:space="0"/>
            </w:tcBorders>
            <w:noWrap w:val="0"/>
            <w:tcMar>
              <w:left w:w="28" w:type="dxa"/>
              <w:right w:w="28" w:type="dxa"/>
            </w:tcMar>
            <w:vAlign w:val="center"/>
          </w:tcPr>
          <w:p w14:paraId="5BBB794D">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i w:val="0"/>
                <w:iCs w:val="0"/>
                <w:color w:val="auto"/>
                <w:kern w:val="0"/>
                <w:sz w:val="28"/>
                <w:szCs w:val="28"/>
                <w:highlight w:val="none"/>
                <w:u w:val="none"/>
                <w:lang w:val="en-US" w:eastAsia="zh-CN" w:bidi="ar"/>
              </w:rPr>
              <w:t>—</w:t>
            </w:r>
          </w:p>
        </w:tc>
        <w:tc>
          <w:tcPr>
            <w:tcW w:w="567" w:type="pct"/>
            <w:tcBorders>
              <w:left w:val="single" w:color="auto" w:sz="4" w:space="0"/>
            </w:tcBorders>
            <w:noWrap w:val="0"/>
            <w:tcMar>
              <w:left w:w="28" w:type="dxa"/>
              <w:right w:w="28" w:type="dxa"/>
            </w:tcMar>
            <w:vAlign w:val="center"/>
          </w:tcPr>
          <w:p w14:paraId="60FF91B7">
            <w:pPr>
              <w:keepNext w:val="0"/>
              <w:keepLines w:val="0"/>
              <w:pageBreakBefore w:val="0"/>
              <w:widowControl/>
              <w:suppressLineNumbers w:val="0"/>
              <w:shd w:val="clear"/>
              <w:kinsoku/>
              <w:wordWrap/>
              <w:topLinePunct w:val="0"/>
              <w:autoSpaceDE/>
              <w:autoSpaceDN/>
              <w:bidi w:val="0"/>
              <w:snapToGrid w:val="0"/>
              <w:spacing w:line="0" w:lineRule="atLeast"/>
              <w:ind w:left="0" w:leftChars="0" w:right="0" w:rightChars="0" w:firstLine="0" w:firstLineChars="0"/>
              <w:jc w:val="center"/>
              <w:textAlignment w:val="center"/>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i w:val="0"/>
                <w:iCs w:val="0"/>
                <w:color w:val="auto"/>
                <w:kern w:val="0"/>
                <w:sz w:val="28"/>
                <w:szCs w:val="28"/>
                <w:highlight w:val="none"/>
                <w:u w:val="none"/>
                <w:lang w:val="en-US" w:eastAsia="zh-CN" w:bidi="ar"/>
              </w:rPr>
              <w:t>约束性</w:t>
            </w:r>
          </w:p>
        </w:tc>
      </w:tr>
      <w:tr w14:paraId="5D60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restart"/>
            <w:tcBorders>
              <w:left w:val="single" w:color="auto" w:sz="4" w:space="0"/>
            </w:tcBorders>
            <w:noWrap w:val="0"/>
            <w:tcMar>
              <w:left w:w="28" w:type="dxa"/>
              <w:right w:w="28" w:type="dxa"/>
            </w:tcMar>
            <w:vAlign w:val="center"/>
          </w:tcPr>
          <w:p w14:paraId="7DCCE308">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b w:val="0"/>
                <w:bCs w:val="0"/>
                <w:color w:val="auto"/>
                <w:spacing w:val="0"/>
                <w:kern w:val="2"/>
                <w:sz w:val="28"/>
                <w:szCs w:val="28"/>
                <w:highlight w:val="none"/>
                <w:u w:val="none" w:color="auto"/>
                <w:lang w:val="en-US" w:eastAsia="zh-CN"/>
              </w:rPr>
            </w:pPr>
            <w:r>
              <w:rPr>
                <w:rFonts w:hint="default" w:ascii="Times New Roman" w:hAnsi="Times New Roman" w:eastAsia="仿宋_GB2312" w:cs="Times New Roman"/>
                <w:b w:val="0"/>
                <w:bCs w:val="0"/>
                <w:color w:val="auto"/>
                <w:spacing w:val="0"/>
                <w:kern w:val="2"/>
                <w:sz w:val="28"/>
                <w:szCs w:val="28"/>
                <w:highlight w:val="none"/>
                <w:u w:val="none" w:color="auto"/>
                <w:lang w:eastAsia="zh-CN"/>
              </w:rPr>
              <w:t>安全保障</w:t>
            </w:r>
          </w:p>
        </w:tc>
        <w:tc>
          <w:tcPr>
            <w:tcW w:w="2278" w:type="pct"/>
            <w:gridSpan w:val="2"/>
            <w:tcBorders>
              <w:left w:val="single" w:color="auto" w:sz="4" w:space="0"/>
            </w:tcBorders>
            <w:noWrap w:val="0"/>
            <w:tcMar>
              <w:left w:w="28" w:type="dxa"/>
              <w:right w:w="28" w:type="dxa"/>
            </w:tcMar>
            <w:vAlign w:val="center"/>
          </w:tcPr>
          <w:p w14:paraId="38C429C0">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19.</w:t>
            </w:r>
            <w:r>
              <w:rPr>
                <w:rFonts w:hint="default" w:ascii="Times New Roman" w:hAnsi="Times New Roman" w:eastAsia="仿宋_GB2312" w:cs="Times New Roman"/>
                <w:color w:val="auto"/>
                <w:spacing w:val="0"/>
                <w:kern w:val="2"/>
                <w:sz w:val="28"/>
                <w:szCs w:val="28"/>
                <w:highlight w:val="none"/>
                <w:u w:val="none" w:color="auto"/>
              </w:rPr>
              <w:t>粮食综合生产能力</w:t>
            </w:r>
            <w:r>
              <w:rPr>
                <w:rFonts w:hint="default" w:ascii="Times New Roman" w:hAnsi="Times New Roman" w:eastAsia="仿宋_GB2312" w:cs="Times New Roman"/>
                <w:color w:val="auto"/>
                <w:spacing w:val="0"/>
                <w:kern w:val="2"/>
                <w:sz w:val="28"/>
                <w:szCs w:val="28"/>
                <w:highlight w:val="none"/>
                <w:u w:val="none" w:color="auto"/>
                <w:lang w:eastAsia="zh-CN"/>
              </w:rPr>
              <w:t>（</w:t>
            </w:r>
            <w:r>
              <w:rPr>
                <w:rFonts w:hint="default" w:ascii="Times New Roman" w:hAnsi="Times New Roman" w:eastAsia="仿宋_GB2312" w:cs="Times New Roman"/>
                <w:color w:val="auto"/>
                <w:spacing w:val="0"/>
                <w:kern w:val="2"/>
                <w:sz w:val="28"/>
                <w:szCs w:val="28"/>
                <w:highlight w:val="none"/>
                <w:u w:val="none" w:color="auto"/>
                <w:lang w:val="en-US" w:eastAsia="zh-CN"/>
              </w:rPr>
              <w:t>亿斤</w:t>
            </w:r>
            <w:r>
              <w:rPr>
                <w:rFonts w:hint="default" w:ascii="Times New Roman" w:hAnsi="Times New Roman" w:eastAsia="仿宋_GB2312" w:cs="Times New Roman"/>
                <w:color w:val="auto"/>
                <w:spacing w:val="0"/>
                <w:kern w:val="2"/>
                <w:sz w:val="28"/>
                <w:szCs w:val="28"/>
                <w:highlight w:val="none"/>
                <w:u w:val="none" w:color="auto"/>
                <w:lang w:eastAsia="zh-CN"/>
              </w:rPr>
              <w:t>）</w:t>
            </w:r>
          </w:p>
        </w:tc>
        <w:tc>
          <w:tcPr>
            <w:tcW w:w="466" w:type="pct"/>
            <w:tcBorders>
              <w:left w:val="single" w:color="auto" w:sz="4" w:space="0"/>
            </w:tcBorders>
            <w:noWrap w:val="0"/>
            <w:tcMar>
              <w:left w:w="28" w:type="dxa"/>
              <w:right w:w="28" w:type="dxa"/>
            </w:tcMar>
            <w:vAlign w:val="center"/>
          </w:tcPr>
          <w:p w14:paraId="07AE6FFD">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12.7</w:t>
            </w:r>
          </w:p>
        </w:tc>
        <w:tc>
          <w:tcPr>
            <w:tcW w:w="678" w:type="pct"/>
            <w:tcBorders>
              <w:left w:val="single" w:color="auto" w:sz="4" w:space="0"/>
            </w:tcBorders>
            <w:noWrap w:val="0"/>
            <w:tcMar>
              <w:left w:w="28" w:type="dxa"/>
              <w:right w:w="28" w:type="dxa"/>
            </w:tcMar>
            <w:vAlign w:val="center"/>
          </w:tcPr>
          <w:p w14:paraId="18598D26">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12.7</w:t>
            </w:r>
          </w:p>
          <w:p w14:paraId="1B8FF677">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以上</w:t>
            </w:r>
          </w:p>
        </w:tc>
        <w:tc>
          <w:tcPr>
            <w:tcW w:w="670" w:type="pct"/>
            <w:tcBorders>
              <w:left w:val="single" w:color="auto" w:sz="4" w:space="0"/>
            </w:tcBorders>
            <w:noWrap w:val="0"/>
            <w:tcMar>
              <w:left w:w="28" w:type="dxa"/>
              <w:right w:w="28" w:type="dxa"/>
            </w:tcMar>
            <w:vAlign w:val="center"/>
          </w:tcPr>
          <w:p w14:paraId="67BA2C26">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cs="Times New Roman"/>
                <w:color w:val="auto"/>
                <w:spacing w:val="0"/>
                <w:kern w:val="2"/>
                <w:sz w:val="28"/>
                <w:szCs w:val="28"/>
                <w:highlight w:val="none"/>
                <w:u w:val="none" w:color="auto"/>
                <w:lang w:val="en-US" w:eastAsia="zh-CN"/>
              </w:rPr>
              <w:t>—</w:t>
            </w:r>
          </w:p>
        </w:tc>
        <w:tc>
          <w:tcPr>
            <w:tcW w:w="567" w:type="pct"/>
            <w:tcBorders>
              <w:left w:val="single" w:color="auto" w:sz="4" w:space="0"/>
            </w:tcBorders>
            <w:noWrap w:val="0"/>
            <w:tcMar>
              <w:left w:w="28" w:type="dxa"/>
              <w:right w:w="28" w:type="dxa"/>
            </w:tcMar>
            <w:vAlign w:val="center"/>
          </w:tcPr>
          <w:p w14:paraId="6BF3BD40">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约束性</w:t>
            </w:r>
          </w:p>
        </w:tc>
      </w:tr>
      <w:tr w14:paraId="1EDB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vMerge w:val="continue"/>
            <w:tcBorders>
              <w:left w:val="single" w:color="auto" w:sz="4" w:space="0"/>
            </w:tcBorders>
            <w:noWrap w:val="0"/>
            <w:tcMar>
              <w:left w:w="28" w:type="dxa"/>
              <w:right w:w="28" w:type="dxa"/>
            </w:tcMar>
            <w:vAlign w:val="center"/>
          </w:tcPr>
          <w:p w14:paraId="77CA9AEC">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p>
        </w:tc>
        <w:tc>
          <w:tcPr>
            <w:tcW w:w="2278" w:type="pct"/>
            <w:gridSpan w:val="2"/>
            <w:tcBorders>
              <w:left w:val="single" w:color="auto" w:sz="4" w:space="0"/>
            </w:tcBorders>
            <w:noWrap w:val="0"/>
            <w:tcMar>
              <w:left w:w="28" w:type="dxa"/>
              <w:right w:w="28" w:type="dxa"/>
            </w:tcMar>
            <w:vAlign w:val="center"/>
          </w:tcPr>
          <w:p w14:paraId="4E9398F9">
            <w:pPr>
              <w:keepNext w:val="0"/>
              <w:keepLines w:val="0"/>
              <w:pageBreakBefore w:val="0"/>
              <w:widowControl w:val="0"/>
              <w:shd w:val="clear"/>
              <w:kinsoku/>
              <w:wordWrap/>
              <w:overflowPunct w:val="0"/>
              <w:topLinePunct w:val="0"/>
              <w:autoSpaceDE/>
              <w:autoSpaceDN/>
              <w:bidi w:val="0"/>
              <w:adjustRightInd w:val="0"/>
              <w:snapToGrid w:val="0"/>
              <w:spacing w:line="0" w:lineRule="atLeast"/>
              <w:ind w:firstLine="0"/>
              <w:jc w:val="both"/>
              <w:textAlignment w:val="baseline"/>
              <w:rPr>
                <w:rFonts w:hint="default" w:ascii="Times New Roman" w:hAnsi="Times New Roman" w:eastAsia="仿宋_GB2312" w:cs="Times New Roman"/>
                <w:color w:val="auto"/>
                <w:spacing w:val="0"/>
                <w:kern w:val="2"/>
                <w:sz w:val="28"/>
                <w:szCs w:val="28"/>
                <w:highlight w:val="none"/>
                <w:u w:val="none" w:color="auto"/>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20.</w:t>
            </w:r>
            <w:r>
              <w:rPr>
                <w:rFonts w:hint="default" w:ascii="Times New Roman" w:hAnsi="Times New Roman" w:eastAsia="仿宋_GB2312" w:cs="Times New Roman"/>
                <w:color w:val="auto"/>
                <w:spacing w:val="0"/>
                <w:kern w:val="2"/>
                <w:sz w:val="28"/>
                <w:szCs w:val="28"/>
                <w:highlight w:val="none"/>
                <w:u w:val="none" w:color="auto"/>
              </w:rPr>
              <w:t>能源综合生产力</w:t>
            </w:r>
            <w:r>
              <w:rPr>
                <w:rFonts w:hint="default" w:ascii="Times New Roman" w:hAnsi="Times New Roman" w:eastAsia="仿宋_GB2312" w:cs="Times New Roman"/>
                <w:color w:val="auto"/>
                <w:spacing w:val="0"/>
                <w:kern w:val="2"/>
                <w:sz w:val="28"/>
                <w:szCs w:val="28"/>
                <w:highlight w:val="none"/>
                <w:u w:val="none" w:color="auto"/>
                <w:lang w:eastAsia="zh-CN"/>
              </w:rPr>
              <w:t>（</w:t>
            </w:r>
            <w:r>
              <w:rPr>
                <w:rFonts w:hint="default" w:ascii="Times New Roman" w:hAnsi="Times New Roman" w:cs="Times New Roman"/>
                <w:color w:val="auto"/>
                <w:spacing w:val="0"/>
                <w:kern w:val="2"/>
                <w:sz w:val="28"/>
                <w:szCs w:val="28"/>
                <w:highlight w:val="none"/>
                <w:u w:val="none" w:color="auto"/>
                <w:lang w:val="en-US" w:eastAsia="zh-CN"/>
              </w:rPr>
              <w:t>万</w:t>
            </w:r>
            <w:r>
              <w:rPr>
                <w:rFonts w:hint="default" w:ascii="Times New Roman" w:hAnsi="Times New Roman" w:eastAsia="仿宋_GB2312" w:cs="Times New Roman"/>
                <w:color w:val="auto"/>
                <w:spacing w:val="0"/>
                <w:kern w:val="2"/>
                <w:sz w:val="28"/>
                <w:szCs w:val="28"/>
                <w:highlight w:val="none"/>
                <w:u w:val="none" w:color="auto"/>
                <w:lang w:eastAsia="zh-CN"/>
              </w:rPr>
              <w:t>吨标准煤）</w:t>
            </w:r>
          </w:p>
        </w:tc>
        <w:tc>
          <w:tcPr>
            <w:tcW w:w="466" w:type="pct"/>
            <w:tcBorders>
              <w:left w:val="single" w:color="auto" w:sz="4" w:space="0"/>
            </w:tcBorders>
            <w:noWrap w:val="0"/>
            <w:tcMar>
              <w:left w:w="28" w:type="dxa"/>
              <w:right w:w="28" w:type="dxa"/>
            </w:tcMar>
            <w:vAlign w:val="center"/>
          </w:tcPr>
          <w:p w14:paraId="4D1BC6A4">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default" w:ascii="Times New Roman" w:hAnsi="Times New Roman" w:cs="Times New Roman"/>
                <w:color w:val="auto"/>
                <w:spacing w:val="0"/>
                <w:kern w:val="2"/>
                <w:sz w:val="28"/>
                <w:szCs w:val="28"/>
                <w:highlight w:val="none"/>
                <w:u w:val="none" w:color="auto"/>
                <w:lang w:val="en-US" w:eastAsia="zh-CN"/>
              </w:rPr>
              <w:t>6.</w:t>
            </w:r>
            <w:r>
              <w:rPr>
                <w:rFonts w:hint="eastAsia" w:ascii="Times New Roman" w:hAnsi="Times New Roman" w:cs="Times New Roman"/>
                <w:color w:val="auto"/>
                <w:spacing w:val="0"/>
                <w:kern w:val="2"/>
                <w:sz w:val="28"/>
                <w:szCs w:val="28"/>
                <w:highlight w:val="none"/>
                <w:u w:val="none" w:color="auto"/>
                <w:lang w:val="en-US" w:eastAsia="zh-CN"/>
              </w:rPr>
              <w:t>53</w:t>
            </w:r>
          </w:p>
        </w:tc>
        <w:tc>
          <w:tcPr>
            <w:tcW w:w="678" w:type="pct"/>
            <w:tcBorders>
              <w:left w:val="single" w:color="auto" w:sz="4" w:space="0"/>
            </w:tcBorders>
            <w:noWrap w:val="0"/>
            <w:tcMar>
              <w:left w:w="28" w:type="dxa"/>
              <w:right w:w="28" w:type="dxa"/>
            </w:tcMar>
            <w:vAlign w:val="center"/>
          </w:tcPr>
          <w:p w14:paraId="2C5765D8">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lang w:val="en-US" w:eastAsia="zh-CN"/>
              </w:rPr>
            </w:pPr>
            <w:r>
              <w:rPr>
                <w:rFonts w:hint="eastAsia" w:ascii="Times New Roman" w:hAnsi="Times New Roman" w:cs="Times New Roman"/>
                <w:color w:val="auto"/>
                <w:spacing w:val="0"/>
                <w:kern w:val="2"/>
                <w:sz w:val="28"/>
                <w:szCs w:val="28"/>
                <w:highlight w:val="none"/>
                <w:u w:val="none" w:color="auto"/>
                <w:lang w:val="en-US" w:eastAsia="zh-CN"/>
              </w:rPr>
              <w:t>10</w:t>
            </w:r>
          </w:p>
        </w:tc>
        <w:tc>
          <w:tcPr>
            <w:tcW w:w="670" w:type="pct"/>
            <w:tcBorders>
              <w:left w:val="single" w:color="auto" w:sz="4" w:space="0"/>
            </w:tcBorders>
            <w:noWrap w:val="0"/>
            <w:tcMar>
              <w:left w:w="28" w:type="dxa"/>
              <w:right w:w="28" w:type="dxa"/>
            </w:tcMar>
            <w:vAlign w:val="center"/>
          </w:tcPr>
          <w:p w14:paraId="7DCE2629">
            <w:pPr>
              <w:keepNext w:val="0"/>
              <w:keepLines w:val="0"/>
              <w:pageBreakBefore w:val="0"/>
              <w:shd w:val="clear"/>
              <w:kinsoku/>
              <w:wordWrap/>
              <w:overflowPunct w:val="0"/>
              <w:topLinePunct w:val="0"/>
              <w:autoSpaceDE/>
              <w:autoSpaceDN/>
              <w:bidi w:val="0"/>
              <w:adjustRightInd w:val="0"/>
              <w:snapToGrid w:val="0"/>
              <w:spacing w:line="0" w:lineRule="atLeast"/>
              <w:ind w:firstLine="0" w:firstLineChars="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cs="Times New Roman"/>
                <w:color w:val="auto"/>
                <w:spacing w:val="0"/>
                <w:kern w:val="2"/>
                <w:sz w:val="28"/>
                <w:szCs w:val="28"/>
                <w:highlight w:val="none"/>
                <w:u w:val="none" w:color="auto"/>
                <w:lang w:val="en-US" w:eastAsia="zh-CN"/>
              </w:rPr>
              <w:t>—</w:t>
            </w:r>
          </w:p>
        </w:tc>
        <w:tc>
          <w:tcPr>
            <w:tcW w:w="567" w:type="pct"/>
            <w:tcBorders>
              <w:left w:val="single" w:color="auto" w:sz="4" w:space="0"/>
            </w:tcBorders>
            <w:noWrap w:val="0"/>
            <w:tcMar>
              <w:left w:w="28" w:type="dxa"/>
              <w:right w:w="28" w:type="dxa"/>
            </w:tcMar>
            <w:vAlign w:val="center"/>
          </w:tcPr>
          <w:p w14:paraId="211D0587">
            <w:pPr>
              <w:keepNext w:val="0"/>
              <w:keepLines w:val="0"/>
              <w:pageBreakBefore w:val="0"/>
              <w:shd w:val="clear"/>
              <w:kinsoku/>
              <w:wordWrap/>
              <w:overflowPunct w:val="0"/>
              <w:topLinePunct w:val="0"/>
              <w:autoSpaceDE/>
              <w:autoSpaceDN/>
              <w:bidi w:val="0"/>
              <w:adjustRightInd w:val="0"/>
              <w:snapToGrid w:val="0"/>
              <w:spacing w:line="0" w:lineRule="atLeast"/>
              <w:ind w:firstLine="0"/>
              <w:jc w:val="center"/>
              <w:textAlignment w:val="baseline"/>
              <w:rPr>
                <w:rFonts w:hint="default" w:ascii="Times New Roman" w:hAnsi="Times New Roman" w:eastAsia="仿宋_GB2312" w:cs="Times New Roman"/>
                <w:color w:val="auto"/>
                <w:spacing w:val="0"/>
                <w:kern w:val="2"/>
                <w:sz w:val="28"/>
                <w:szCs w:val="28"/>
                <w:highlight w:val="none"/>
                <w:u w:val="none" w:color="auto"/>
              </w:rPr>
            </w:pPr>
            <w:r>
              <w:rPr>
                <w:rFonts w:hint="default" w:ascii="Times New Roman" w:hAnsi="Times New Roman" w:eastAsia="仿宋_GB2312" w:cs="Times New Roman"/>
                <w:color w:val="auto"/>
                <w:spacing w:val="0"/>
                <w:kern w:val="2"/>
                <w:sz w:val="28"/>
                <w:szCs w:val="28"/>
                <w:highlight w:val="none"/>
                <w:u w:val="none" w:color="auto"/>
              </w:rPr>
              <w:t>约束性</w:t>
            </w:r>
          </w:p>
        </w:tc>
      </w:tr>
    </w:tbl>
    <w:p w14:paraId="36F4528A">
      <w:pPr>
        <w:shd w:val="clear"/>
        <w:rPr>
          <w:rFonts w:hint="default" w:ascii="Times New Roman" w:hAnsi="Times New Roman" w:eastAsia="仿宋_GB2312" w:cs="Times New Roman"/>
          <w:vanish/>
          <w:color w:val="auto"/>
          <w:sz w:val="32"/>
          <w:highlight w:val="none"/>
          <w:lang w:eastAsia="zh-CN"/>
        </w:rPr>
      </w:pPr>
      <w:r>
        <w:rPr>
          <w:rFonts w:hint="default" w:ascii="Times New Roman" w:hAnsi="Times New Roman" w:eastAsia="仿宋_GB2312" w:cs="Times New Roman"/>
          <w:color w:val="auto"/>
          <w:spacing w:val="0"/>
          <w:kern w:val="2"/>
          <w:sz w:val="28"/>
          <w:szCs w:val="28"/>
          <w:highlight w:val="none"/>
          <w:u w:val="none" w:color="auto"/>
          <w:lang w:val="en-US" w:eastAsia="zh-CN"/>
        </w:rPr>
        <w:t>注：</w:t>
      </w:r>
      <w:r>
        <w:rPr>
          <w:rFonts w:hint="eastAsia" w:ascii="仿宋_GB2312" w:hAnsi="仿宋_GB2312" w:eastAsia="仿宋_GB2312" w:cs="仿宋_GB2312"/>
          <w:color w:val="auto"/>
          <w:spacing w:val="0"/>
          <w:kern w:val="2"/>
          <w:sz w:val="28"/>
          <w:szCs w:val="28"/>
          <w:highlight w:val="none"/>
          <w:u w:val="none" w:color="auto"/>
          <w:lang w:val="en-US" w:eastAsia="zh-CN"/>
        </w:rPr>
        <w:t>①</w:t>
      </w:r>
      <w:r>
        <w:rPr>
          <w:rFonts w:hint="eastAsia" w:ascii="黑体" w:hAnsi="黑体" w:eastAsia="黑体" w:cs="黑体"/>
          <w:b w:val="0"/>
          <w:bCs w:val="0"/>
          <w:color w:val="auto"/>
          <w:spacing w:val="0"/>
          <w:kern w:val="2"/>
          <w:sz w:val="24"/>
          <w:szCs w:val="24"/>
          <w:highlight w:val="none"/>
          <w:u w:val="none" w:color="auto"/>
          <w:lang w:val="en-US" w:eastAsia="zh-CN"/>
        </w:rPr>
        <w:t>〔〕</w:t>
      </w:r>
      <w:r>
        <w:rPr>
          <w:rFonts w:hint="eastAsia" w:ascii="仿宋_GB2312" w:hAnsi="仿宋_GB2312" w:eastAsia="仿宋_GB2312" w:cs="仿宋_GB2312"/>
          <w:color w:val="auto"/>
          <w:spacing w:val="0"/>
          <w:kern w:val="2"/>
          <w:sz w:val="28"/>
          <w:szCs w:val="28"/>
          <w:highlight w:val="none"/>
          <w:u w:val="none" w:color="auto"/>
          <w:lang w:val="en-US" w:eastAsia="zh-CN"/>
        </w:rPr>
        <w:t>内为5年累计数;②带*的为2024年数据。</w:t>
      </w:r>
    </w:p>
    <w:p w14:paraId="5FD8D927">
      <w:pPr>
        <w:shd w:val="clea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br w:type="page"/>
      </w:r>
    </w:p>
    <w:p w14:paraId="02F061FB">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27" w:name="_Toc1319560900"/>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第三章 培育高质量发展新动能 构建现代化产业体系</w:t>
      </w:r>
      <w:bookmarkEnd w:id="27"/>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 xml:space="preserve"> </w:t>
      </w:r>
      <w:bookmarkEnd w:id="25"/>
      <w:bookmarkEnd w:id="26"/>
    </w:p>
    <w:p w14:paraId="30B0C1C0">
      <w:pPr>
        <w:ind w:firstLine="632" w:firstLineChars="200"/>
        <w:rPr>
          <w:rFonts w:hint="default"/>
          <w:color w:val="auto"/>
        </w:rPr>
      </w:pPr>
      <w:r>
        <w:rPr>
          <w:rFonts w:hint="default"/>
          <w:color w:val="auto"/>
          <w:lang w:val="en-US" w:eastAsia="zh-CN"/>
        </w:rPr>
        <w:t>加快</w:t>
      </w:r>
      <w:r>
        <w:rPr>
          <w:rFonts w:hint="default"/>
          <w:color w:val="auto"/>
        </w:rPr>
        <w:t>推动制造业高质量发展</w:t>
      </w:r>
      <w:r>
        <w:rPr>
          <w:rFonts w:hint="default"/>
          <w:color w:val="auto"/>
          <w:lang w:eastAsia="zh-CN"/>
        </w:rPr>
        <w:t>，</w:t>
      </w:r>
      <w:r>
        <w:rPr>
          <w:rFonts w:hint="default"/>
          <w:color w:val="auto"/>
        </w:rPr>
        <w:t>以科技创新和智能制造为引领，</w:t>
      </w:r>
      <w:r>
        <w:rPr>
          <w:rFonts w:hint="default"/>
          <w:color w:val="auto"/>
          <w:lang w:val="en-US" w:eastAsia="zh-CN"/>
        </w:rPr>
        <w:t>构建</w:t>
      </w:r>
      <w:r>
        <w:rPr>
          <w:rFonts w:hint="eastAsia"/>
          <w:color w:val="auto"/>
          <w:lang w:val="en-US" w:eastAsia="zh-CN"/>
        </w:rPr>
        <w:t>“</w:t>
      </w:r>
      <w:r>
        <w:rPr>
          <w:rFonts w:hint="default"/>
          <w:color w:val="auto"/>
          <w:lang w:val="en-US" w:eastAsia="zh-CN"/>
        </w:rPr>
        <w:t>双核引领、多元共进</w:t>
      </w:r>
      <w:r>
        <w:rPr>
          <w:rFonts w:hint="eastAsia"/>
          <w:color w:val="auto"/>
          <w:lang w:val="en-US" w:eastAsia="zh-CN"/>
        </w:rPr>
        <w:t>”</w:t>
      </w:r>
      <w:r>
        <w:rPr>
          <w:rFonts w:hint="default"/>
          <w:color w:val="auto"/>
          <w:lang w:val="en-US" w:eastAsia="zh-CN"/>
        </w:rPr>
        <w:t>的现代化产业体系，加快优势制造业提质扩容，推动</w:t>
      </w:r>
      <w:r>
        <w:rPr>
          <w:rFonts w:hint="default"/>
          <w:color w:val="auto"/>
        </w:rPr>
        <w:t>传统优势产业</w:t>
      </w:r>
      <w:r>
        <w:rPr>
          <w:rFonts w:hint="default"/>
          <w:color w:val="auto"/>
          <w:lang w:val="en-US" w:eastAsia="zh-CN"/>
        </w:rPr>
        <w:t>转型升级</w:t>
      </w:r>
      <w:r>
        <w:rPr>
          <w:rFonts w:hint="default"/>
          <w:color w:val="auto"/>
        </w:rPr>
        <w:t>，培育壮大新兴产业</w:t>
      </w:r>
      <w:r>
        <w:rPr>
          <w:rFonts w:hint="default"/>
          <w:color w:val="auto"/>
          <w:lang w:val="en-US" w:eastAsia="zh-CN"/>
        </w:rPr>
        <w:t>和未来产业</w:t>
      </w:r>
      <w:r>
        <w:rPr>
          <w:rFonts w:hint="default"/>
          <w:color w:val="auto"/>
        </w:rPr>
        <w:t>，</w:t>
      </w:r>
      <w:r>
        <w:rPr>
          <w:rFonts w:hint="default"/>
          <w:color w:val="auto"/>
          <w:lang w:val="en-US" w:eastAsia="zh-CN"/>
        </w:rPr>
        <w:t>做大做强做优现有六大产业链和四大产业平台，积极培育引进新的产业链条，</w:t>
      </w:r>
      <w:r>
        <w:rPr>
          <w:rFonts w:hint="default"/>
          <w:color w:val="auto"/>
        </w:rPr>
        <w:t>着力推动产业基础高级化</w:t>
      </w:r>
      <w:r>
        <w:rPr>
          <w:rFonts w:hint="default"/>
          <w:color w:val="auto"/>
          <w:lang w:eastAsia="zh-CN"/>
        </w:rPr>
        <w:t>，</w:t>
      </w:r>
      <w:r>
        <w:rPr>
          <w:rFonts w:hint="default"/>
          <w:color w:val="auto"/>
          <w:lang w:val="en-US" w:eastAsia="zh-CN"/>
        </w:rPr>
        <w:t>发展新质生产力，</w:t>
      </w:r>
      <w:r>
        <w:rPr>
          <w:rFonts w:hint="default"/>
          <w:color w:val="auto"/>
        </w:rPr>
        <w:t>全面提升产业综合竞争力。</w:t>
      </w:r>
    </w:p>
    <w:p w14:paraId="37639CEA">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双核引领，做大做强优势产业</w:t>
      </w:r>
    </w:p>
    <w:p w14:paraId="4DAEEE0B">
      <w:pPr>
        <w:spacing w:line="240" w:lineRule="auto"/>
        <w:ind w:firstLine="652" w:firstLineChars="200"/>
        <w:rPr>
          <w:rFonts w:hint="default" w:ascii="Times New Roman" w:hAnsi="Times New Roman" w:cs="Times New Roman"/>
          <w:color w:val="auto"/>
          <w:spacing w:val="5"/>
          <w:kern w:val="2"/>
          <w:sz w:val="32"/>
          <w:szCs w:val="32"/>
          <w:highlight w:val="none"/>
          <w:lang w:bidi="ar-SA"/>
        </w:rPr>
      </w:pPr>
      <w:r>
        <w:rPr>
          <w:rFonts w:hint="default" w:ascii="Times New Roman" w:hAnsi="Times New Roman" w:cs="Times New Roman"/>
          <w:color w:val="auto"/>
          <w:spacing w:val="5"/>
          <w:kern w:val="2"/>
          <w:sz w:val="32"/>
          <w:szCs w:val="32"/>
          <w:highlight w:val="none"/>
          <w:lang w:bidi="ar-SA"/>
        </w:rPr>
        <w:t>坚持创新驱动、集群发展，持续提升产业链供应链韧性和竞争力</w:t>
      </w:r>
      <w:r>
        <w:rPr>
          <w:rFonts w:hint="default" w:ascii="Times New Roman" w:hAnsi="Times New Roman" w:cs="Times New Roman"/>
          <w:color w:val="auto"/>
          <w:spacing w:val="5"/>
          <w:kern w:val="2"/>
          <w:sz w:val="32"/>
          <w:szCs w:val="32"/>
          <w:highlight w:val="none"/>
          <w:lang w:eastAsia="zh-CN" w:bidi="ar-SA"/>
        </w:rPr>
        <w:t>。</w:t>
      </w:r>
      <w:r>
        <w:rPr>
          <w:rFonts w:hint="default" w:ascii="Times New Roman" w:hAnsi="Times New Roman" w:cs="Times New Roman"/>
          <w:color w:val="auto"/>
          <w:spacing w:val="5"/>
          <w:kern w:val="2"/>
          <w:sz w:val="32"/>
          <w:szCs w:val="32"/>
          <w:highlight w:val="none"/>
          <w:lang w:bidi="ar-SA"/>
        </w:rPr>
        <w:t>聚焦</w:t>
      </w:r>
      <w:r>
        <w:rPr>
          <w:rFonts w:hint="default" w:ascii="Times New Roman" w:hAnsi="Times New Roman" w:cs="Times New Roman"/>
          <w:color w:val="auto"/>
          <w:spacing w:val="5"/>
          <w:kern w:val="2"/>
          <w:sz w:val="32"/>
          <w:szCs w:val="32"/>
          <w:highlight w:val="none"/>
          <w:lang w:eastAsia="zh-CN" w:bidi="ar-SA"/>
        </w:rPr>
        <w:t>现代医药</w:t>
      </w:r>
      <w:r>
        <w:rPr>
          <w:rFonts w:hint="default" w:ascii="Times New Roman" w:hAnsi="Times New Roman" w:cs="Times New Roman"/>
          <w:color w:val="auto"/>
          <w:spacing w:val="5"/>
          <w:kern w:val="2"/>
          <w:sz w:val="32"/>
          <w:szCs w:val="32"/>
          <w:highlight w:val="none"/>
          <w:lang w:val="en-US" w:eastAsia="zh-CN" w:bidi="ar-SA"/>
        </w:rPr>
        <w:t>和</w:t>
      </w:r>
      <w:r>
        <w:rPr>
          <w:rFonts w:hint="default" w:ascii="Times New Roman" w:hAnsi="Times New Roman" w:cs="Times New Roman"/>
          <w:color w:val="auto"/>
          <w:spacing w:val="5"/>
          <w:kern w:val="2"/>
          <w:sz w:val="32"/>
          <w:szCs w:val="32"/>
          <w:highlight w:val="none"/>
          <w:lang w:bidi="ar-SA"/>
        </w:rPr>
        <w:t>新材料两大优势产业</w:t>
      </w:r>
      <w:r>
        <w:rPr>
          <w:rFonts w:hint="default" w:ascii="Times New Roman" w:hAnsi="Times New Roman" w:cs="Times New Roman"/>
          <w:color w:val="auto"/>
          <w:spacing w:val="5"/>
          <w:kern w:val="2"/>
          <w:sz w:val="32"/>
          <w:szCs w:val="32"/>
          <w:highlight w:val="none"/>
          <w:lang w:eastAsia="zh-CN" w:bidi="ar-SA"/>
        </w:rPr>
        <w:t>，</w:t>
      </w:r>
      <w:r>
        <w:rPr>
          <w:rFonts w:hint="default" w:ascii="Times New Roman" w:hAnsi="Times New Roman" w:cs="Times New Roman"/>
          <w:color w:val="auto"/>
          <w:spacing w:val="5"/>
          <w:kern w:val="2"/>
          <w:sz w:val="32"/>
          <w:szCs w:val="32"/>
          <w:highlight w:val="none"/>
          <w:lang w:bidi="ar-SA"/>
        </w:rPr>
        <w:t>系统推进</w:t>
      </w:r>
      <w:r>
        <w:rPr>
          <w:rFonts w:hint="default" w:ascii="Times New Roman" w:hAnsi="Times New Roman" w:cs="Times New Roman"/>
          <w:color w:val="auto"/>
          <w:spacing w:val="5"/>
          <w:kern w:val="2"/>
          <w:sz w:val="32"/>
          <w:szCs w:val="32"/>
          <w:highlight w:val="none"/>
          <w:lang w:eastAsia="zh-CN" w:bidi="ar-SA"/>
        </w:rPr>
        <w:t>现代医药</w:t>
      </w:r>
      <w:r>
        <w:rPr>
          <w:rFonts w:hint="default" w:ascii="Times New Roman" w:hAnsi="Times New Roman" w:cs="Times New Roman"/>
          <w:color w:val="auto"/>
          <w:spacing w:val="5"/>
          <w:kern w:val="2"/>
          <w:sz w:val="32"/>
          <w:szCs w:val="32"/>
          <w:highlight w:val="none"/>
          <w:lang w:bidi="ar-SA"/>
        </w:rPr>
        <w:t>产业向制剂化、高端化</w:t>
      </w:r>
      <w:r>
        <w:rPr>
          <w:rFonts w:hint="default" w:ascii="Times New Roman" w:hAnsi="Times New Roman" w:cs="Times New Roman"/>
          <w:color w:val="auto"/>
          <w:spacing w:val="5"/>
          <w:kern w:val="2"/>
          <w:sz w:val="32"/>
          <w:szCs w:val="32"/>
          <w:highlight w:val="none"/>
          <w:lang w:val="en-US" w:eastAsia="zh-CN" w:bidi="ar-SA"/>
        </w:rPr>
        <w:t>提档</w:t>
      </w:r>
      <w:r>
        <w:rPr>
          <w:rFonts w:hint="default" w:ascii="Times New Roman" w:hAnsi="Times New Roman" w:cs="Times New Roman"/>
          <w:color w:val="auto"/>
          <w:spacing w:val="5"/>
          <w:kern w:val="2"/>
          <w:sz w:val="32"/>
          <w:szCs w:val="32"/>
          <w:highlight w:val="none"/>
          <w:lang w:bidi="ar-SA"/>
        </w:rPr>
        <w:t>延伸，</w:t>
      </w:r>
      <w:r>
        <w:rPr>
          <w:rFonts w:hint="default" w:ascii="Times New Roman" w:hAnsi="Times New Roman" w:cs="Times New Roman"/>
          <w:color w:val="auto"/>
          <w:spacing w:val="5"/>
          <w:kern w:val="2"/>
          <w:sz w:val="32"/>
          <w:szCs w:val="32"/>
          <w:highlight w:val="none"/>
          <w:lang w:val="en-US" w:eastAsia="zh-CN" w:bidi="ar-SA"/>
        </w:rPr>
        <w:t>加快</w:t>
      </w:r>
      <w:r>
        <w:rPr>
          <w:rFonts w:hint="default" w:ascii="Times New Roman" w:hAnsi="Times New Roman" w:cs="Times New Roman"/>
          <w:color w:val="auto"/>
          <w:spacing w:val="5"/>
          <w:kern w:val="2"/>
          <w:sz w:val="32"/>
          <w:szCs w:val="32"/>
          <w:highlight w:val="none"/>
          <w:lang w:bidi="ar-SA"/>
        </w:rPr>
        <w:t>新材料产业向功能化、精细化</w:t>
      </w:r>
      <w:r>
        <w:rPr>
          <w:rFonts w:hint="default" w:ascii="Times New Roman" w:hAnsi="Times New Roman" w:cs="Times New Roman"/>
          <w:color w:val="auto"/>
          <w:spacing w:val="5"/>
          <w:kern w:val="2"/>
          <w:sz w:val="32"/>
          <w:szCs w:val="32"/>
          <w:highlight w:val="none"/>
          <w:lang w:val="en-US" w:eastAsia="zh-CN" w:bidi="ar-SA"/>
        </w:rPr>
        <w:t>创新</w:t>
      </w:r>
      <w:r>
        <w:rPr>
          <w:rFonts w:hint="default" w:ascii="Times New Roman" w:hAnsi="Times New Roman" w:cs="Times New Roman"/>
          <w:color w:val="auto"/>
          <w:spacing w:val="5"/>
          <w:kern w:val="2"/>
          <w:sz w:val="32"/>
          <w:szCs w:val="32"/>
          <w:highlight w:val="none"/>
          <w:lang w:bidi="ar-SA"/>
        </w:rPr>
        <w:t>突破，全面构建技术领先、链条协同、生态完善的现代化产业体系</w:t>
      </w:r>
      <w:r>
        <w:rPr>
          <w:rFonts w:hint="default" w:ascii="Times New Roman" w:hAnsi="Times New Roman" w:cs="Times New Roman"/>
          <w:color w:val="auto"/>
          <w:spacing w:val="5"/>
          <w:kern w:val="2"/>
          <w:sz w:val="32"/>
          <w:szCs w:val="32"/>
          <w:highlight w:val="none"/>
          <w:lang w:eastAsia="zh-CN" w:bidi="ar-SA"/>
        </w:rPr>
        <w:t>，</w:t>
      </w:r>
      <w:r>
        <w:rPr>
          <w:rFonts w:hint="default" w:ascii="Times New Roman" w:hAnsi="Times New Roman" w:cs="Times New Roman"/>
          <w:color w:val="auto"/>
          <w:spacing w:val="5"/>
          <w:kern w:val="2"/>
          <w:sz w:val="32"/>
          <w:szCs w:val="32"/>
          <w:highlight w:val="none"/>
          <w:lang w:val="en-US" w:eastAsia="zh-CN" w:bidi="ar-SA"/>
        </w:rPr>
        <w:t>着力</w:t>
      </w:r>
      <w:r>
        <w:rPr>
          <w:rFonts w:hint="default" w:ascii="Times New Roman" w:hAnsi="Times New Roman" w:cs="Times New Roman"/>
          <w:color w:val="auto"/>
          <w:spacing w:val="5"/>
          <w:kern w:val="2"/>
          <w:sz w:val="32"/>
          <w:szCs w:val="32"/>
          <w:highlight w:val="none"/>
          <w:lang w:bidi="ar-SA"/>
        </w:rPr>
        <w:t>打造支撑区域高质量发展的核心增长极。</w:t>
      </w:r>
    </w:p>
    <w:p w14:paraId="58575D52">
      <w:pPr>
        <w:spacing w:line="240" w:lineRule="auto"/>
        <w:ind w:firstLine="632" w:firstLineChars="200"/>
        <w:rPr>
          <w:rFonts w:hint="default" w:ascii="Times New Roman" w:hAnsi="Times New Roman" w:cs="Times New Roman"/>
          <w:b w:val="0"/>
          <w:bCs w:val="0"/>
          <w:i w:val="0"/>
          <w:iCs w:val="0"/>
          <w:caps w:val="0"/>
          <w:color w:val="auto"/>
          <w:spacing w:val="0"/>
          <w:kern w:val="2"/>
          <w:sz w:val="32"/>
          <w:szCs w:val="32"/>
          <w:highlight w:val="none"/>
          <w:u w:val="none" w:color="auto"/>
          <w:shd w:val="clear"/>
          <w:lang w:val="en-US" w:eastAsia="zh-CN" w:bidi="ar-SA"/>
        </w:rPr>
      </w:pPr>
      <w:r>
        <w:rPr>
          <w:rStyle w:val="18"/>
          <w:rFonts w:hint="default" w:ascii="Times New Roman" w:hAnsi="Times New Roman" w:eastAsia="仿宋_GB2312" w:cs="Times New Roman"/>
          <w:b/>
          <w:bCs/>
          <w:i w:val="0"/>
          <w:iCs w:val="0"/>
          <w:caps w:val="0"/>
          <w:color w:val="auto"/>
          <w:spacing w:val="0"/>
          <w:kern w:val="2"/>
          <w:sz w:val="32"/>
          <w:szCs w:val="32"/>
          <w:highlight w:val="none"/>
          <w:u w:val="none" w:color="auto"/>
          <w:shd w:val="clear" w:fill="FFFFFF"/>
          <w:lang w:val="en-US" w:eastAsia="zh-CN" w:bidi="ar-SA"/>
        </w:rPr>
        <w:t>做大</w:t>
      </w:r>
      <w:r>
        <w:rPr>
          <w:rStyle w:val="18"/>
          <w:rFonts w:hint="default" w:ascii="Times New Roman" w:hAnsi="Times New Roman" w:cs="Times New Roman"/>
          <w:b/>
          <w:bCs/>
          <w:i w:val="0"/>
          <w:iCs w:val="0"/>
          <w:caps w:val="0"/>
          <w:color w:val="auto"/>
          <w:spacing w:val="0"/>
          <w:kern w:val="2"/>
          <w:sz w:val="32"/>
          <w:szCs w:val="32"/>
          <w:highlight w:val="none"/>
          <w:u w:val="none" w:color="auto"/>
          <w:shd w:val="clear" w:fill="FFFFFF"/>
          <w:lang w:val="en-US" w:eastAsia="zh-CN" w:bidi="ar-SA"/>
        </w:rPr>
        <w:t>现代医药</w:t>
      </w:r>
      <w:r>
        <w:rPr>
          <w:rStyle w:val="18"/>
          <w:rFonts w:hint="default" w:ascii="Times New Roman" w:hAnsi="Times New Roman" w:eastAsia="仿宋_GB2312" w:cs="Times New Roman"/>
          <w:b/>
          <w:bCs/>
          <w:i w:val="0"/>
          <w:iCs w:val="0"/>
          <w:caps w:val="0"/>
          <w:color w:val="auto"/>
          <w:spacing w:val="0"/>
          <w:kern w:val="2"/>
          <w:sz w:val="32"/>
          <w:szCs w:val="32"/>
          <w:highlight w:val="none"/>
          <w:u w:val="none" w:color="auto"/>
          <w:shd w:val="clear" w:fill="FFFFFF"/>
          <w:lang w:val="en-US" w:eastAsia="zh-CN" w:bidi="ar-SA"/>
        </w:rPr>
        <w:t>产业</w:t>
      </w:r>
      <w:r>
        <w:rPr>
          <w:rFonts w:hint="default" w:ascii="Times New Roman" w:hAnsi="Times New Roman" w:cs="Times New Roman"/>
          <w:b/>
          <w:bCs/>
          <w:i w:val="0"/>
          <w:iCs w:val="0"/>
          <w:caps w:val="0"/>
          <w:color w:val="auto"/>
          <w:spacing w:val="0"/>
          <w:kern w:val="2"/>
          <w:sz w:val="32"/>
          <w:szCs w:val="32"/>
          <w:highlight w:val="none"/>
          <w:u w:val="none" w:color="auto"/>
          <w:shd w:val="clear"/>
          <w:lang w:val="en-US" w:eastAsia="zh-CN" w:bidi="ar-SA"/>
        </w:rPr>
        <w:t>。</w:t>
      </w:r>
      <w:r>
        <w:rPr>
          <w:rFonts w:hint="default" w:ascii="Times New Roman" w:hAnsi="Times New Roman" w:eastAsia="楷体_GB2312" w:cs="Times New Roman"/>
          <w:b w:val="0"/>
          <w:bCs w:val="0"/>
          <w:color w:val="auto"/>
          <w:sz w:val="32"/>
          <w:szCs w:val="32"/>
          <w:highlight w:val="none"/>
          <w:lang w:val="en-US" w:eastAsia="zh-CN"/>
        </w:rPr>
        <w:t>化学药领域。</w:t>
      </w:r>
      <w:r>
        <w:rPr>
          <w:rFonts w:hint="default" w:ascii="Times New Roman" w:hAnsi="Times New Roman" w:eastAsia="仿宋_GB2312" w:cs="Times New Roman"/>
          <w:b w:val="0"/>
          <w:bCs w:val="0"/>
          <w:color w:val="auto"/>
          <w:sz w:val="32"/>
          <w:szCs w:val="32"/>
          <w:highlight w:val="none"/>
          <w:lang w:val="en-US" w:eastAsia="zh-CN"/>
        </w:rPr>
        <w:t>持续巩固化学药核心支柱产业地位，立足现有产业基础分类推进，推动产业链向制剂化、高端化延伸。重点完善</w:t>
      </w:r>
      <w:r>
        <w:rPr>
          <w:rFonts w:hint="eastAsia"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中间体</w:t>
      </w:r>
      <w:r>
        <w:rPr>
          <w:rFonts w:hint="eastAsia"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原料药</w:t>
      </w:r>
      <w:r>
        <w:rPr>
          <w:rFonts w:hint="eastAsia"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制剂</w:t>
      </w:r>
      <w:r>
        <w:rPr>
          <w:rFonts w:hint="eastAsia"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一体化布局，联动生物发酵医药原料与特色制剂板块补链强链，突破高端制剂技术瓶颈。甾体类药物板块，在赛托生物现有鼻吸入、乳膏剂型基础上，加快发展缓控释制剂及新型注射剂，同步拓展生物基医药原料应用场景，实现从关键母核、生物发酵原料双重优势向终端制剂生产优势的跨越。</w:t>
      </w:r>
      <w:r>
        <w:rPr>
          <w:rFonts w:hint="default" w:ascii="Times New Roman" w:hAnsi="Times New Roman" w:eastAsia="楷体_GB2312" w:cs="Times New Roman"/>
          <w:b w:val="0"/>
          <w:bCs w:val="0"/>
          <w:i w:val="0"/>
          <w:iCs w:val="0"/>
          <w:caps w:val="0"/>
          <w:color w:val="auto"/>
          <w:spacing w:val="0"/>
          <w:kern w:val="2"/>
          <w:sz w:val="32"/>
          <w:szCs w:val="32"/>
          <w:highlight w:val="none"/>
          <w:u w:val="none" w:color="auto"/>
          <w:shd w:val="clear"/>
          <w:lang w:val="en-US" w:eastAsia="zh-CN" w:bidi="ar-SA"/>
        </w:rPr>
        <w:t>医疗器械领域。</w:t>
      </w:r>
      <w:r>
        <w:rPr>
          <w:rFonts w:hint="default" w:ascii="Times New Roman" w:hAnsi="Times New Roman" w:cs="Times New Roman"/>
          <w:b w:val="0"/>
          <w:bCs w:val="0"/>
          <w:i w:val="0"/>
          <w:iCs w:val="0"/>
          <w:caps w:val="0"/>
          <w:color w:val="auto"/>
          <w:spacing w:val="0"/>
          <w:kern w:val="2"/>
          <w:sz w:val="32"/>
          <w:szCs w:val="32"/>
          <w:highlight w:val="none"/>
          <w:u w:val="none" w:color="auto"/>
          <w:shd w:val="clear"/>
          <w:lang w:val="en-US" w:eastAsia="zh-CN" w:bidi="ar-SA"/>
        </w:rPr>
        <w:t>着力培育医疗器械产业成为增长新引擎，推动产品结构向高精度、高附加值升级。医用器械耗材板块，推动产业从基础耗材向三通阀、无针输液接头等高精尖零部件提档，突破精密加工、无菌封装等关键技术，提升产品附加值，支持开展材料与结构创新，培育细分领域领军优势。医美及生物材料板块，加快重组人源胶原蛋白等生物材料的产业化和注册进程，布局3D打印微针贴、BFS次抛等新型产品，拓展注射填充材料、医用修复敷料等医美产品线，完善原料、生产与检测配套体系，打造区域特色产业集群。</w:t>
      </w:r>
      <w:r>
        <w:rPr>
          <w:rFonts w:hint="default" w:ascii="Times New Roman" w:hAnsi="Times New Roman" w:eastAsia="楷体_GB2312" w:cs="Times New Roman"/>
          <w:b w:val="0"/>
          <w:bCs w:val="0"/>
          <w:i w:val="0"/>
          <w:iCs w:val="0"/>
          <w:caps w:val="0"/>
          <w:color w:val="auto"/>
          <w:spacing w:val="0"/>
          <w:kern w:val="2"/>
          <w:sz w:val="32"/>
          <w:szCs w:val="32"/>
          <w:highlight w:val="none"/>
          <w:u w:val="none" w:color="auto"/>
          <w:shd w:val="clear"/>
          <w:lang w:val="en-US" w:eastAsia="zh-CN" w:bidi="ar-SA"/>
        </w:rPr>
        <w:t>关联融合产业领域。</w:t>
      </w:r>
      <w:r>
        <w:rPr>
          <w:rFonts w:hint="default" w:ascii="Times New Roman" w:hAnsi="Times New Roman" w:cs="Times New Roman"/>
          <w:b w:val="0"/>
          <w:bCs w:val="0"/>
          <w:i w:val="0"/>
          <w:iCs w:val="0"/>
          <w:caps w:val="0"/>
          <w:color w:val="auto"/>
          <w:spacing w:val="0"/>
          <w:kern w:val="2"/>
          <w:sz w:val="32"/>
          <w:szCs w:val="32"/>
          <w:highlight w:val="none"/>
          <w:u w:val="none" w:color="auto"/>
          <w:shd w:val="clear"/>
          <w:lang w:val="en-US" w:eastAsia="zh-CN" w:bidi="ar-SA"/>
        </w:rPr>
        <w:t>依托专业产业园区载体，重点发展特医食品等关联产业，突破配方研发、原料提纯等关键技术，完善生产与检测体系，支持开展临床营养研究与合作，推动产品迭代升级。持续优化产业生态，强化重点项目全周期服务与要素保障，完善园区配套，落实各项激励政策，吸引优质资源集聚，全面夯实现代医药产业高质量发展根基。</w:t>
      </w:r>
    </w:p>
    <w:p w14:paraId="72D6ED98">
      <w:pPr>
        <w:spacing w:line="240" w:lineRule="auto"/>
        <w:ind w:firstLine="632" w:firstLineChars="200"/>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r>
        <w:rPr>
          <w:rStyle w:val="18"/>
          <w:rFonts w:hint="default" w:ascii="Times New Roman" w:hAnsi="Times New Roman" w:eastAsia="仿宋_GB2312" w:cs="Times New Roman"/>
          <w:b/>
          <w:bCs/>
          <w:i w:val="0"/>
          <w:iCs w:val="0"/>
          <w:caps w:val="0"/>
          <w:color w:val="auto"/>
          <w:spacing w:val="0"/>
          <w:kern w:val="2"/>
          <w:sz w:val="32"/>
          <w:szCs w:val="32"/>
          <w:highlight w:val="none"/>
          <w:u w:val="none" w:color="auto"/>
          <w:shd w:val="clear" w:fill="FFFFFF"/>
          <w:lang w:val="en-US" w:eastAsia="zh-CN" w:bidi="ar-SA"/>
        </w:rPr>
        <w:t>做强新材料产业</w:t>
      </w:r>
      <w:r>
        <w:rPr>
          <w:rFonts w:hint="default" w:ascii="Times New Roman" w:hAnsi="Times New Roman" w:cs="Times New Roman"/>
          <w:b/>
          <w:bCs/>
          <w:i w:val="0"/>
          <w:iCs w:val="0"/>
          <w:caps w:val="0"/>
          <w:color w:val="auto"/>
          <w:spacing w:val="0"/>
          <w:kern w:val="2"/>
          <w:sz w:val="32"/>
          <w:szCs w:val="32"/>
          <w:highlight w:val="none"/>
          <w:u w:val="none" w:color="auto"/>
          <w:shd w:val="clear"/>
          <w:lang w:val="en-US" w:eastAsia="zh-CN" w:bidi="ar-SA"/>
        </w:rPr>
        <w:t>。</w:t>
      </w:r>
      <w:r>
        <w:rPr>
          <w:rFonts w:hint="default" w:ascii="Times New Roman" w:hAnsi="Times New Roman" w:eastAsia="仿宋_GB2312" w:cs="Times New Roman"/>
          <w:color w:val="auto"/>
          <w:kern w:val="2"/>
          <w:sz w:val="32"/>
          <w:szCs w:val="32"/>
          <w:highlight w:val="none"/>
          <w:u w:val="none" w:color="auto"/>
          <w:lang w:bidi="ar-SA"/>
        </w:rPr>
        <w:t>依托超薄柔性织物、电磁屏蔽材料、5G/6G集成电路板的核心材料、高端纤维智能制造、聚苯乙烯等新材料产业链基础，着力构建创新活跃、链条完整、协同高效、竞争力强的新材料产业体系</w:t>
      </w:r>
      <w:r>
        <w:rPr>
          <w:rFonts w:hint="default" w:ascii="Times New Roman" w:hAnsi="Times New Roman" w:eastAsia="仿宋_GB2312" w:cs="Times New Roman"/>
          <w:color w:val="auto"/>
          <w:kern w:val="2"/>
          <w:sz w:val="32"/>
          <w:szCs w:val="32"/>
          <w:highlight w:val="none"/>
          <w:u w:val="none" w:color="auto"/>
          <w:lang w:eastAsia="zh-CN" w:bidi="ar-SA"/>
        </w:rPr>
        <w:t>。</w:t>
      </w:r>
      <w:r>
        <w:rPr>
          <w:rFonts w:hint="default" w:ascii="Times New Roman" w:hAnsi="Times New Roman" w:eastAsia="楷体_GB2312" w:cs="Times New Roman"/>
          <w:color w:val="auto"/>
          <w:kern w:val="2"/>
          <w:sz w:val="32"/>
          <w:szCs w:val="32"/>
          <w:highlight w:val="none"/>
          <w:u w:val="none" w:color="auto"/>
          <w:lang w:bidi="ar-SA"/>
        </w:rPr>
        <w:t>半导体新材料</w:t>
      </w:r>
      <w:r>
        <w:rPr>
          <w:rFonts w:hint="default" w:ascii="Times New Roman" w:hAnsi="Times New Roman" w:eastAsia="楷体_GB2312" w:cs="Times New Roman"/>
          <w:color w:val="auto"/>
          <w:kern w:val="2"/>
          <w:sz w:val="32"/>
          <w:szCs w:val="32"/>
          <w:highlight w:val="none"/>
          <w:u w:val="none" w:color="auto"/>
          <w:lang w:val="en-US" w:eastAsia="zh-CN" w:bidi="ar-SA"/>
        </w:rPr>
        <w:t>领域。</w:t>
      </w:r>
      <w:r>
        <w:rPr>
          <w:rFonts w:hint="default" w:ascii="Times New Roman" w:hAnsi="Times New Roman" w:cs="Times New Roman"/>
          <w:color w:val="auto"/>
          <w:kern w:val="2"/>
          <w:sz w:val="32"/>
          <w:szCs w:val="32"/>
          <w:highlight w:val="none"/>
          <w:u w:val="none" w:color="auto"/>
          <w:lang w:bidi="ar-SA"/>
        </w:rPr>
        <w:t>重点推动半导体封装、测试环节关键材料的研发与产业化</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加快特种橡胶改性剂及迭代产品的量产应用，攻关先进封装材料、高性能薄膜等前沿领域，拓展产品在半导体、汽车电子及氢燃料能源等市场的应用</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支持再生高纯半导体材料的规模化加工与全面达产，延伸其在电子器件、光伏、特种合金等高技术产业的应用链条。</w:t>
      </w:r>
      <w:r>
        <w:rPr>
          <w:rFonts w:hint="default" w:ascii="Times New Roman" w:hAnsi="Times New Roman" w:eastAsia="楷体_GB2312" w:cs="Times New Roman"/>
          <w:color w:val="auto"/>
          <w:kern w:val="2"/>
          <w:sz w:val="32"/>
          <w:szCs w:val="32"/>
          <w:highlight w:val="none"/>
          <w:u w:val="none" w:color="auto"/>
          <w:lang w:bidi="ar-SA"/>
        </w:rPr>
        <w:t>电子新材料</w:t>
      </w:r>
      <w:r>
        <w:rPr>
          <w:rFonts w:hint="default" w:ascii="Times New Roman" w:hAnsi="Times New Roman" w:eastAsia="楷体_GB2312" w:cs="Times New Roman"/>
          <w:color w:val="auto"/>
          <w:kern w:val="2"/>
          <w:sz w:val="32"/>
          <w:szCs w:val="32"/>
          <w:highlight w:val="none"/>
          <w:u w:val="none" w:color="auto"/>
          <w:lang w:val="en-US" w:eastAsia="zh-CN" w:bidi="ar-SA"/>
        </w:rPr>
        <w:t>领域。</w:t>
      </w:r>
      <w:r>
        <w:rPr>
          <w:rFonts w:hint="default" w:ascii="Times New Roman" w:hAnsi="Times New Roman" w:cs="Times New Roman"/>
          <w:color w:val="auto"/>
          <w:kern w:val="2"/>
          <w:sz w:val="32"/>
          <w:szCs w:val="32"/>
          <w:highlight w:val="none"/>
          <w:u w:val="none" w:color="auto"/>
          <w:lang w:bidi="ar-SA"/>
        </w:rPr>
        <w:t>面向国防军工、新一代通信、新能源汽车等战略需求，打造高端专用电子新材料集聚区</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重点发展电磁功能材料、先进热管理材料、纳米及环保可降解材料等产品</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深化产学研用协同，扩大在新能源汽车领域的市场份额，保障对头部厂商的稳定供应</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积极开拓消费电子终端市场与国际市场。</w:t>
      </w:r>
      <w:r>
        <w:rPr>
          <w:rFonts w:hint="default" w:ascii="Times New Roman" w:hAnsi="Times New Roman" w:eastAsia="楷体_GB2312" w:cs="Times New Roman"/>
          <w:color w:val="auto"/>
          <w:kern w:val="2"/>
          <w:sz w:val="32"/>
          <w:szCs w:val="32"/>
          <w:highlight w:val="none"/>
          <w:u w:val="none" w:color="auto"/>
          <w:lang w:bidi="ar-SA"/>
        </w:rPr>
        <w:t>化工新材料</w:t>
      </w:r>
      <w:r>
        <w:rPr>
          <w:rFonts w:hint="default" w:ascii="Times New Roman" w:hAnsi="Times New Roman" w:eastAsia="楷体_GB2312" w:cs="Times New Roman"/>
          <w:color w:val="auto"/>
          <w:kern w:val="2"/>
          <w:sz w:val="32"/>
          <w:szCs w:val="32"/>
          <w:highlight w:val="none"/>
          <w:u w:val="none" w:color="auto"/>
          <w:lang w:val="en-US" w:eastAsia="zh-CN" w:bidi="ar-SA"/>
        </w:rPr>
        <w:t>领域。</w:t>
      </w:r>
      <w:r>
        <w:rPr>
          <w:rFonts w:hint="default" w:ascii="Times New Roman" w:hAnsi="Times New Roman" w:cs="Times New Roman"/>
          <w:color w:val="auto"/>
          <w:kern w:val="2"/>
          <w:sz w:val="32"/>
          <w:szCs w:val="32"/>
          <w:highlight w:val="none"/>
          <w:u w:val="none" w:color="auto"/>
          <w:lang w:bidi="ar-SA"/>
        </w:rPr>
        <w:t>聚焦高性能聚合物及生物基化学品，推动产业向医用、高端领域升级</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重点发展医用级树脂、耐高温工程塑料、特种树脂及长碳链二元酸系列产品</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支持建设柔性化生产线，实现多品种高效切换生产，扩大高端苯乙烯系聚合物及生物基化学品产能，满足多样化市场需求。</w:t>
      </w:r>
      <w:r>
        <w:rPr>
          <w:rFonts w:hint="default" w:ascii="Times New Roman" w:hAnsi="Times New Roman" w:eastAsia="楷体_GB2312" w:cs="Times New Roman"/>
          <w:color w:val="auto"/>
          <w:kern w:val="2"/>
          <w:sz w:val="32"/>
          <w:szCs w:val="32"/>
          <w:highlight w:val="none"/>
          <w:u w:val="none" w:color="auto"/>
          <w:lang w:bidi="ar-SA"/>
        </w:rPr>
        <w:t>高端纤维智能制造</w:t>
      </w:r>
      <w:r>
        <w:rPr>
          <w:rFonts w:hint="default" w:ascii="Times New Roman" w:hAnsi="Times New Roman" w:eastAsia="楷体_GB2312" w:cs="Times New Roman"/>
          <w:color w:val="auto"/>
          <w:kern w:val="2"/>
          <w:sz w:val="32"/>
          <w:szCs w:val="32"/>
          <w:highlight w:val="none"/>
          <w:u w:val="none" w:color="auto"/>
          <w:lang w:val="en-US" w:eastAsia="zh-CN" w:bidi="ar-SA"/>
        </w:rPr>
        <w:t>领域。</w:t>
      </w:r>
      <w:r>
        <w:rPr>
          <w:rFonts w:hint="default" w:ascii="Times New Roman" w:hAnsi="Times New Roman" w:cs="Times New Roman"/>
          <w:color w:val="auto"/>
          <w:kern w:val="2"/>
          <w:sz w:val="32"/>
          <w:szCs w:val="32"/>
          <w:highlight w:val="none"/>
          <w:u w:val="none" w:color="auto"/>
          <w:lang w:bidi="ar-SA"/>
        </w:rPr>
        <w:t>以智能化、功能化为方向，升级高端纺织产业</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深耕高端服装、户外运动、医疗卫材等领域，重点开发复合功能纤维及面料，拓展防紫外线、吸湿速干、抗菌等多功能产品</w:t>
      </w:r>
      <w:r>
        <w:rPr>
          <w:rFonts w:hint="default" w:ascii="Times New Roman" w:hAnsi="Times New Roman" w:cs="Times New Roman"/>
          <w:color w:val="auto"/>
          <w:kern w:val="2"/>
          <w:sz w:val="32"/>
          <w:szCs w:val="32"/>
          <w:highlight w:val="none"/>
          <w:u w:val="none" w:color="auto"/>
          <w:lang w:eastAsia="zh-CN" w:bidi="ar-SA"/>
        </w:rPr>
        <w:t>，</w:t>
      </w:r>
      <w:r>
        <w:rPr>
          <w:rFonts w:hint="default" w:ascii="Times New Roman" w:hAnsi="Times New Roman" w:cs="Times New Roman"/>
          <w:color w:val="auto"/>
          <w:kern w:val="2"/>
          <w:sz w:val="32"/>
          <w:szCs w:val="32"/>
          <w:highlight w:val="none"/>
          <w:u w:val="none" w:color="auto"/>
          <w:lang w:bidi="ar-SA"/>
        </w:rPr>
        <w:t>支持建设智能化工厂，推广全流程数字化管控系统，大幅提升生产效能。推动产业链向下游服装、家纺成品延伸，打造从关键纤维研发到高端终端产品制造的完整产业生态。</w:t>
      </w:r>
    </w:p>
    <w:p w14:paraId="19061823">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28" w:name="_Toc1255325519"/>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多元共进，做精做优潜力产业</w:t>
      </w:r>
      <w:bookmarkEnd w:id="28"/>
    </w:p>
    <w:p w14:paraId="3312420C">
      <w:pPr>
        <w:shd w:val="clear"/>
        <w:spacing w:line="240" w:lineRule="auto"/>
        <w:ind w:firstLine="632"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bookmarkStart w:id="29" w:name="_Toc25901"/>
      <w:bookmarkStart w:id="30" w:name="_Toc19944"/>
      <w:r>
        <w:rPr>
          <w:rFonts w:hint="default" w:ascii="Times New Roman" w:hAnsi="Times New Roman" w:eastAsia="仿宋_GB2312" w:cs="Times New Roman"/>
          <w:color w:val="auto"/>
          <w:spacing w:val="0"/>
          <w:kern w:val="2"/>
          <w:sz w:val="32"/>
          <w:szCs w:val="32"/>
          <w:highlight w:val="none"/>
          <w:u w:val="none" w:color="auto"/>
          <w:lang w:val="en-US" w:eastAsia="zh-CN" w:bidi="ar-SA"/>
        </w:rPr>
        <w:t>积极培育和壮大新兴增长点与传统转型动能，聚焦新能源、绿色食品、传统产业升级等重点方向，推动产业向高端化、智能化、绿色化转型，构建特色鲜明、协同发展的现代产业体系。</w:t>
      </w:r>
    </w:p>
    <w:p w14:paraId="57649B99">
      <w:pPr>
        <w:spacing w:line="240" w:lineRule="auto"/>
        <w:ind w:firstLine="632"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r>
        <w:rPr>
          <w:rFonts w:hint="default" w:ascii="Times New Roman" w:hAnsi="Times New Roman" w:cs="Times New Roman"/>
          <w:b/>
          <w:bCs/>
          <w:color w:val="auto"/>
          <w:spacing w:val="0"/>
          <w:kern w:val="2"/>
          <w:sz w:val="32"/>
          <w:szCs w:val="32"/>
          <w:highlight w:val="none"/>
          <w:u w:val="none" w:color="auto"/>
          <w:lang w:val="en-US" w:eastAsia="zh-CN" w:bidi="ar-SA"/>
        </w:rPr>
        <w:t>发展</w:t>
      </w:r>
      <w:r>
        <w:rPr>
          <w:rFonts w:hint="eastAsia" w:ascii="Times New Roman" w:hAnsi="Times New Roman" w:cs="Times New Roman"/>
          <w:b/>
          <w:bCs/>
          <w:color w:val="auto"/>
          <w:spacing w:val="0"/>
          <w:kern w:val="2"/>
          <w:sz w:val="32"/>
          <w:szCs w:val="32"/>
          <w:highlight w:val="none"/>
          <w:u w:val="none" w:color="auto"/>
          <w:lang w:val="en-US" w:eastAsia="zh-CN" w:bidi="ar-SA"/>
        </w:rPr>
        <w:t>特色</w:t>
      </w: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新能源产业。</w:t>
      </w:r>
      <w:r>
        <w:rPr>
          <w:rFonts w:hint="default" w:ascii="Times New Roman" w:hAnsi="Times New Roman" w:eastAsia="仿宋_GB2312" w:cs="Times New Roman"/>
          <w:color w:val="auto"/>
          <w:spacing w:val="0"/>
          <w:kern w:val="2"/>
          <w:sz w:val="32"/>
          <w:szCs w:val="32"/>
          <w:highlight w:val="none"/>
          <w:u w:val="none" w:color="auto"/>
          <w:lang w:val="en-US" w:eastAsia="zh-CN" w:bidi="ar-SA"/>
        </w:rPr>
        <w:t>立足资源禀赋与产业基础，</w:t>
      </w:r>
      <w:r>
        <w:rPr>
          <w:rFonts w:hint="default" w:ascii="Times New Roman" w:hAnsi="Times New Roman" w:cs="Times New Roman"/>
          <w:color w:val="auto"/>
          <w:spacing w:val="0"/>
          <w:kern w:val="2"/>
          <w:sz w:val="32"/>
          <w:szCs w:val="32"/>
          <w:highlight w:val="none"/>
          <w:u w:val="none" w:color="auto"/>
          <w:lang w:val="en-US" w:eastAsia="zh-CN" w:bidi="ar-SA"/>
        </w:rPr>
        <w:t>推动新能源产业</w:t>
      </w:r>
      <w:r>
        <w:rPr>
          <w:rFonts w:hint="default" w:ascii="Times New Roman" w:hAnsi="Times New Roman" w:eastAsia="仿宋_GB2312" w:cs="Times New Roman"/>
          <w:color w:val="auto"/>
          <w:spacing w:val="0"/>
          <w:kern w:val="2"/>
          <w:sz w:val="32"/>
          <w:szCs w:val="32"/>
          <w:highlight w:val="none"/>
          <w:u w:val="none" w:color="auto"/>
          <w:lang w:val="en-US" w:eastAsia="zh-CN" w:bidi="ar-SA"/>
        </w:rPr>
        <w:t>强链补链</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多元融合，构建“发、储、送、用”一体化的新能源产业体系，推动产业进阶跃升。</w:t>
      </w:r>
      <w:r>
        <w:rPr>
          <w:rFonts w:hint="default" w:ascii="Times New Roman" w:hAnsi="Times New Roman" w:eastAsia="楷体_GB2312" w:cs="Times New Roman"/>
          <w:color w:val="auto"/>
          <w:spacing w:val="0"/>
          <w:kern w:val="2"/>
          <w:sz w:val="32"/>
          <w:szCs w:val="32"/>
          <w:highlight w:val="none"/>
          <w:u w:val="none" w:color="auto"/>
          <w:lang w:val="en-US" w:eastAsia="zh-CN" w:bidi="ar-SA"/>
        </w:rPr>
        <w:t>新能源电力系统领域。</w:t>
      </w:r>
      <w:r>
        <w:rPr>
          <w:rFonts w:hint="default" w:ascii="Times New Roman" w:hAnsi="Times New Roman" w:eastAsia="仿宋_GB2312" w:cs="Times New Roman"/>
          <w:color w:val="auto"/>
          <w:spacing w:val="0"/>
          <w:kern w:val="2"/>
          <w:sz w:val="32"/>
          <w:szCs w:val="32"/>
          <w:highlight w:val="none"/>
          <w:u w:val="none" w:color="auto"/>
          <w:lang w:val="en-US" w:eastAsia="zh-CN" w:bidi="ar-SA"/>
        </w:rPr>
        <w:t>聚焦“风光氢储”一体化发展，加快集中式与</w:t>
      </w:r>
      <w:r>
        <w:rPr>
          <w:rFonts w:hint="default" w:ascii="Times New Roman" w:hAnsi="Times New Roman" w:cs="Times New Roman"/>
          <w:color w:val="auto"/>
          <w:spacing w:val="0"/>
          <w:kern w:val="2"/>
          <w:sz w:val="32"/>
          <w:szCs w:val="32"/>
          <w:highlight w:val="none"/>
          <w:u w:val="none" w:color="auto"/>
          <w:lang w:val="en-US" w:eastAsia="zh-CN" w:bidi="ar-SA"/>
        </w:rPr>
        <w:t>分散</w:t>
      </w:r>
      <w:r>
        <w:rPr>
          <w:rFonts w:hint="default" w:ascii="Times New Roman" w:hAnsi="Times New Roman" w:eastAsia="仿宋_GB2312" w:cs="Times New Roman"/>
          <w:color w:val="auto"/>
          <w:spacing w:val="0"/>
          <w:kern w:val="2"/>
          <w:sz w:val="32"/>
          <w:szCs w:val="32"/>
          <w:highlight w:val="none"/>
          <w:u w:val="none" w:color="auto"/>
          <w:lang w:val="en-US" w:eastAsia="zh-CN" w:bidi="ar-SA"/>
        </w:rPr>
        <w:t>式风电、整县制光伏等重点项目建设，着力完善“新能源</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储能”发展机制</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推动多能互补与清洁能源规模化应用，加快构建适应高比例新能源接入的新型电力系统，实施电网智能化、柔性化改造，强化</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源网荷储</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协同互动，提升新能源消纳能力。</w:t>
      </w:r>
      <w:r>
        <w:rPr>
          <w:rFonts w:hint="default" w:ascii="Times New Roman" w:hAnsi="Times New Roman" w:eastAsia="楷体_GB2312" w:cs="Times New Roman"/>
          <w:color w:val="auto"/>
          <w:spacing w:val="0"/>
          <w:kern w:val="2"/>
          <w:sz w:val="32"/>
          <w:szCs w:val="32"/>
          <w:highlight w:val="none"/>
          <w:u w:val="none" w:color="auto"/>
          <w:lang w:val="en-US" w:eastAsia="zh-CN" w:bidi="ar-SA"/>
        </w:rPr>
        <w:t>新能源机电设备制造领域。</w:t>
      </w:r>
      <w:r>
        <w:rPr>
          <w:rFonts w:hint="default" w:ascii="Times New Roman" w:hAnsi="Times New Roman" w:eastAsia="仿宋_GB2312" w:cs="Times New Roman"/>
          <w:color w:val="auto"/>
          <w:spacing w:val="0"/>
          <w:kern w:val="2"/>
          <w:sz w:val="32"/>
          <w:szCs w:val="32"/>
          <w:highlight w:val="none"/>
          <w:u w:val="none" w:color="auto"/>
          <w:lang w:val="en-US" w:eastAsia="zh-CN" w:bidi="ar-SA"/>
        </w:rPr>
        <w:t>聚力发展光伏、风电及</w:t>
      </w:r>
      <w:r>
        <w:rPr>
          <w:rFonts w:hint="default" w:ascii="Times New Roman" w:hAnsi="Times New Roman" w:cs="Times New Roman"/>
          <w:color w:val="auto"/>
          <w:spacing w:val="0"/>
          <w:kern w:val="2"/>
          <w:sz w:val="32"/>
          <w:szCs w:val="32"/>
          <w:highlight w:val="none"/>
          <w:u w:val="none" w:color="auto"/>
          <w:lang w:val="en-US" w:eastAsia="zh-CN" w:bidi="ar-SA"/>
        </w:rPr>
        <w:t>新型</w:t>
      </w:r>
      <w:r>
        <w:rPr>
          <w:rFonts w:hint="default" w:ascii="Times New Roman" w:hAnsi="Times New Roman" w:eastAsia="仿宋_GB2312" w:cs="Times New Roman"/>
          <w:color w:val="auto"/>
          <w:spacing w:val="0"/>
          <w:kern w:val="2"/>
          <w:sz w:val="32"/>
          <w:szCs w:val="32"/>
          <w:highlight w:val="none"/>
          <w:u w:val="none" w:color="auto"/>
          <w:lang w:val="en-US" w:eastAsia="zh-CN" w:bidi="ar-SA"/>
        </w:rPr>
        <w:t>电池等新兴产业链</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围绕储能材料、核心装备、电池回收及梯次利用等关键环节，推动产业链上下游协同</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加快引进和培育动力电池、智能储能设备、关键材料及光伏组件等项目，推动产业从应用端向高端制造端延伸。</w:t>
      </w:r>
      <w:r>
        <w:rPr>
          <w:rFonts w:hint="default" w:ascii="Times New Roman" w:hAnsi="Times New Roman" w:eastAsia="楷体_GB2312" w:cs="Times New Roman"/>
          <w:color w:val="auto"/>
          <w:spacing w:val="0"/>
          <w:kern w:val="2"/>
          <w:sz w:val="32"/>
          <w:szCs w:val="32"/>
          <w:highlight w:val="none"/>
          <w:u w:val="none" w:color="auto"/>
          <w:lang w:val="en-US" w:eastAsia="zh-CN" w:bidi="ar-SA"/>
        </w:rPr>
        <w:t>产业生态与支撑体系领域。</w:t>
      </w:r>
      <w:r>
        <w:rPr>
          <w:rFonts w:hint="default" w:ascii="Times New Roman" w:hAnsi="Times New Roman" w:eastAsia="仿宋_GB2312" w:cs="Times New Roman"/>
          <w:color w:val="auto"/>
          <w:spacing w:val="0"/>
          <w:kern w:val="2"/>
          <w:sz w:val="32"/>
          <w:szCs w:val="32"/>
          <w:highlight w:val="none"/>
          <w:u w:val="none" w:color="auto"/>
          <w:lang w:val="en-US" w:eastAsia="zh-CN" w:bidi="ar-SA"/>
        </w:rPr>
        <w:t>坚持“应用牵引、制造跟进、集群发展”路径，在工业园区、公共机构、农业设施等场景推广本地化新能源装备应用，孵化培育产业</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构建覆盖城乡的智能充电基础设施网络</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构建“资源开发</w:t>
      </w:r>
      <w:r>
        <w:rPr>
          <w:rFonts w:hint="eastAsia"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cs="Times New Roman"/>
          <w:color w:val="auto"/>
          <w:spacing w:val="0"/>
          <w:kern w:val="2"/>
          <w:sz w:val="32"/>
          <w:szCs w:val="32"/>
          <w:highlight w:val="none"/>
          <w:u w:val="none" w:color="auto"/>
          <w:lang w:val="en-US" w:eastAsia="zh-CN" w:bidi="ar-SA"/>
        </w:rPr>
        <w:t>机电设备制造</w:t>
      </w:r>
      <w:r>
        <w:rPr>
          <w:rFonts w:hint="eastAsia"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循环利用”的完整产业生态。</w:t>
      </w:r>
    </w:p>
    <w:p w14:paraId="595FC07E">
      <w:pPr>
        <w:shd w:val="clear"/>
        <w:spacing w:line="240" w:lineRule="auto"/>
        <w:ind w:firstLine="632"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r>
        <w:rPr>
          <w:rFonts w:hint="eastAsia" w:ascii="Times New Roman" w:hAnsi="Times New Roman" w:cs="Times New Roman"/>
          <w:b/>
          <w:bCs/>
          <w:color w:val="auto"/>
          <w:spacing w:val="0"/>
          <w:kern w:val="2"/>
          <w:sz w:val="32"/>
          <w:szCs w:val="32"/>
          <w:highlight w:val="none"/>
          <w:u w:val="none" w:color="auto"/>
          <w:lang w:val="en-US" w:eastAsia="zh-CN" w:bidi="ar-SA"/>
        </w:rPr>
        <w:t>提高</w:t>
      </w:r>
      <w:r>
        <w:rPr>
          <w:rFonts w:hint="default" w:ascii="Times New Roman" w:hAnsi="Times New Roman" w:cs="Times New Roman"/>
          <w:b/>
          <w:bCs/>
          <w:color w:val="auto"/>
          <w:spacing w:val="0"/>
          <w:kern w:val="2"/>
          <w:sz w:val="32"/>
          <w:szCs w:val="32"/>
          <w:highlight w:val="none"/>
          <w:u w:val="none" w:color="auto"/>
          <w:lang w:val="en-US" w:eastAsia="zh-CN" w:bidi="ar-SA"/>
        </w:rPr>
        <w:t>食品加工产业竞争优势。</w:t>
      </w:r>
      <w:r>
        <w:rPr>
          <w:rFonts w:hint="default" w:ascii="Times New Roman" w:hAnsi="Times New Roman" w:cs="Times New Roman"/>
          <w:color w:val="auto"/>
          <w:spacing w:val="0"/>
          <w:kern w:val="2"/>
          <w:sz w:val="32"/>
          <w:szCs w:val="32"/>
          <w:highlight w:val="none"/>
          <w:u w:val="none" w:color="auto"/>
          <w:lang w:val="en-US" w:eastAsia="zh-CN" w:bidi="ar-SA"/>
        </w:rPr>
        <w:t>立足农业资源禀赋与现有产业基础，围绕粮油精深加工、药食保健、健康畜禽制品等重点方向，构建科技驱动、链条完整、品牌引领的现代食品加工产业体系，推动产业从规模扩张向质量效益提升转型。</w:t>
      </w:r>
      <w:r>
        <w:rPr>
          <w:rFonts w:hint="default" w:ascii="Times New Roman" w:hAnsi="Times New Roman" w:eastAsia="楷体_GB2312" w:cs="Times New Roman"/>
          <w:color w:val="auto"/>
          <w:spacing w:val="0"/>
          <w:kern w:val="2"/>
          <w:sz w:val="32"/>
          <w:szCs w:val="32"/>
          <w:highlight w:val="none"/>
          <w:u w:val="none" w:color="auto"/>
          <w:lang w:val="en-US" w:eastAsia="zh-CN" w:bidi="ar-SA"/>
        </w:rPr>
        <w:t>粮油精深加工领域。</w:t>
      </w:r>
      <w:r>
        <w:rPr>
          <w:rFonts w:hint="default" w:ascii="Times New Roman" w:hAnsi="Times New Roman" w:cs="Times New Roman"/>
          <w:color w:val="auto"/>
          <w:spacing w:val="0"/>
          <w:kern w:val="2"/>
          <w:sz w:val="32"/>
          <w:szCs w:val="32"/>
          <w:highlight w:val="none"/>
          <w:u w:val="none" w:color="auto"/>
          <w:lang w:val="en-US" w:eastAsia="zh-CN" w:bidi="ar-SA"/>
        </w:rPr>
        <w:t>巩固小麦、花生等主导粮油产业优势，推动加工环节向高端化、营养化升级，重点发展专用面粉、高附加值花生制品及特色植物油，提升低温压榨、适度精炼等核心工艺水平，支持研发全谷物食品、功能性粮油新产品，延伸发展主食产业化、高端烘焙原料等链条，强化地域公共品牌培育与企业品牌建设，构建多层次品牌体系，提升产业整体附加值。</w:t>
      </w:r>
      <w:r>
        <w:rPr>
          <w:rFonts w:hint="default" w:ascii="Times New Roman" w:hAnsi="Times New Roman" w:eastAsia="楷体_GB2312" w:cs="Times New Roman"/>
          <w:color w:val="auto"/>
          <w:sz w:val="32"/>
          <w:szCs w:val="32"/>
          <w:highlight w:val="none"/>
        </w:rPr>
        <w:t>药食保健品领域。</w:t>
      </w:r>
      <w:r>
        <w:rPr>
          <w:rFonts w:hint="default" w:ascii="Times New Roman" w:hAnsi="Times New Roman" w:eastAsia="仿宋_GB2312" w:cs="Times New Roman"/>
          <w:color w:val="auto"/>
          <w:sz w:val="32"/>
          <w:szCs w:val="32"/>
          <w:highlight w:val="none"/>
        </w:rPr>
        <w:t>依托牡丹、玫瑰等特色资源与规模化蔬菜种植基础，推动产业向精深加工与高值化利用转型，重点发展冻干果蔬、浓缩汁、功能性提取物</w:t>
      </w: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如牡丹籽油、玫瑰精油等</w:t>
      </w: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及健康休闲食品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加强果蔬加工副产物的综合利用技术研发，提升产业效益。推动构建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标准化种植</w:t>
      </w: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集约化加工</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品牌化营销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一体化发展模式，打造具有地理标志意义的特色产业集群。</w:t>
      </w:r>
      <w:r>
        <w:rPr>
          <w:rFonts w:hint="default" w:ascii="Times New Roman" w:hAnsi="Times New Roman" w:eastAsia="仿宋_GB2312" w:cs="Times New Roman"/>
          <w:color w:val="auto"/>
          <w:sz w:val="32"/>
          <w:szCs w:val="32"/>
          <w:highlight w:val="none"/>
          <w:lang w:eastAsia="zh-CN"/>
        </w:rPr>
        <w:t>深耕大健康产业</w:t>
      </w: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布局高端功能性食品</w:t>
      </w:r>
      <w:r>
        <w:rPr>
          <w:rFonts w:hint="eastAsia" w:ascii="Times New Roman" w:hAnsi="Times New Roman" w:cs="Times New Roman"/>
          <w:color w:val="auto"/>
          <w:sz w:val="32"/>
          <w:szCs w:val="32"/>
          <w:highlight w:val="none"/>
          <w:lang w:eastAsia="zh-CN"/>
        </w:rPr>
        <w:t>产业</w:t>
      </w:r>
      <w:r>
        <w:rPr>
          <w:rFonts w:hint="default" w:ascii="Times New Roman" w:hAnsi="Times New Roman" w:eastAsia="仿宋_GB2312" w:cs="Times New Roman"/>
          <w:color w:val="auto"/>
          <w:sz w:val="32"/>
          <w:szCs w:val="32"/>
          <w:highlight w:val="none"/>
          <w:lang w:eastAsia="zh-CN"/>
        </w:rPr>
        <w:t>，依托海洋微生物脂质精制、甘油酯精加工等技术，发展功能性油脂、营养配料等高附加值基料产品，进一步延伸产业链价值</w:t>
      </w: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增强产业集群核心竞争力。</w:t>
      </w:r>
      <w:r>
        <w:rPr>
          <w:rFonts w:hint="default" w:ascii="Times New Roman" w:hAnsi="Times New Roman" w:eastAsia="楷体_GB2312" w:cs="Times New Roman"/>
          <w:color w:val="auto"/>
          <w:spacing w:val="0"/>
          <w:kern w:val="2"/>
          <w:sz w:val="32"/>
          <w:szCs w:val="32"/>
          <w:highlight w:val="none"/>
          <w:u w:val="none" w:color="auto"/>
          <w:lang w:val="en-US" w:eastAsia="zh-CN" w:bidi="ar-SA"/>
        </w:rPr>
        <w:t>食品制造领域。</w:t>
      </w:r>
      <w:r>
        <w:rPr>
          <w:rFonts w:hint="default" w:ascii="Times New Roman" w:hAnsi="Times New Roman" w:cs="Times New Roman"/>
          <w:color w:val="auto"/>
          <w:spacing w:val="0"/>
          <w:kern w:val="2"/>
          <w:sz w:val="32"/>
          <w:szCs w:val="32"/>
          <w:highlight w:val="none"/>
          <w:u w:val="none" w:color="auto"/>
          <w:lang w:val="en-US" w:eastAsia="zh-CN" w:bidi="ar-SA"/>
        </w:rPr>
        <w:t>发挥脱水蔬菜、肉类加工等现有优势，打造区域性预制菜产业集聚区，重点发展即食、即热、即烹类预制菜品，加快标准化原料基地建设。提升畜禽屠宰加工现代化水平，推动产品结构从初级分割向冷鲜肉、调理制品和精深加工转型，重点发展低温肉制品、休闲熟食、骨血综合利用产品等，鼓励企业研发低脂、低盐等健康型肉制品，应用新型灭菌与包装技术，延长货架期。强化产品质量安全控制，培育具有市场辨识度的区域熟食品牌，推动产业规模化、品牌化发展。</w:t>
      </w:r>
    </w:p>
    <w:p w14:paraId="3DE2BC64">
      <w:pPr>
        <w:shd w:val="clear"/>
        <w:spacing w:line="240" w:lineRule="auto"/>
        <w:ind w:firstLine="632" w:firstLineChars="200"/>
        <w:rPr>
          <w:rFonts w:hint="default" w:ascii="Times New Roman" w:hAnsi="Times New Roman" w:cs="Times New Roman"/>
          <w:b w:val="0"/>
          <w:color w:val="auto"/>
          <w:kern w:val="2"/>
          <w:sz w:val="32"/>
          <w:szCs w:val="32"/>
          <w:highlight w:val="none"/>
          <w:u w:val="none" w:color="auto"/>
          <w:shd w:val="clear"/>
          <w:lang w:eastAsia="zh-CN" w:bidi="ar-SA"/>
        </w:rPr>
      </w:pPr>
      <w:r>
        <w:rPr>
          <w:rStyle w:val="18"/>
          <w:rFonts w:hint="default" w:ascii="Times New Roman" w:hAnsi="Times New Roman" w:eastAsia="仿宋_GB2312" w:cs="Times New Roman"/>
          <w:b/>
          <w:bCs/>
          <w:i w:val="0"/>
          <w:iCs w:val="0"/>
          <w:caps w:val="0"/>
          <w:color w:val="auto"/>
          <w:spacing w:val="0"/>
          <w:kern w:val="2"/>
          <w:sz w:val="32"/>
          <w:szCs w:val="32"/>
          <w:highlight w:val="none"/>
          <w:u w:val="none" w:color="auto"/>
          <w:shd w:val="clear" w:fill="FFFFFF"/>
          <w:lang w:val="en-US" w:eastAsia="zh-CN" w:bidi="ar-SA"/>
        </w:rPr>
        <w:t>推进传统产业转型升级</w:t>
      </w:r>
      <w:r>
        <w:rPr>
          <w:rFonts w:hint="default" w:ascii="Times New Roman" w:hAnsi="Times New Roman" w:cs="Times New Roman"/>
          <w:b/>
          <w:bCs/>
          <w:color w:val="auto"/>
          <w:kern w:val="2"/>
          <w:sz w:val="32"/>
          <w:szCs w:val="32"/>
          <w:highlight w:val="none"/>
          <w:u w:val="none" w:color="auto"/>
          <w:lang w:eastAsia="zh-CN" w:bidi="ar-SA"/>
        </w:rPr>
        <w:t>。</w:t>
      </w:r>
      <w:r>
        <w:rPr>
          <w:rFonts w:hint="default" w:ascii="Times New Roman" w:hAnsi="Times New Roman" w:cs="Times New Roman"/>
          <w:b w:val="0"/>
          <w:color w:val="auto"/>
          <w:kern w:val="2"/>
          <w:sz w:val="32"/>
          <w:szCs w:val="32"/>
          <w:highlight w:val="none"/>
          <w:u w:val="none" w:color="auto"/>
          <w:shd w:val="clear"/>
          <w:lang w:bidi="ar-SA"/>
        </w:rPr>
        <w:t>聚焦</w:t>
      </w:r>
      <w:r>
        <w:rPr>
          <w:rFonts w:hint="default" w:ascii="Times New Roman" w:hAnsi="Times New Roman" w:cs="Times New Roman"/>
          <w:b w:val="0"/>
          <w:color w:val="auto"/>
          <w:kern w:val="2"/>
          <w:sz w:val="32"/>
          <w:szCs w:val="32"/>
          <w:highlight w:val="none"/>
          <w:u w:val="none" w:color="auto"/>
          <w:shd w:val="clear"/>
          <w:lang w:val="en-US" w:eastAsia="zh-CN" w:bidi="ar-SA"/>
        </w:rPr>
        <w:t>机电设备制造</w:t>
      </w:r>
      <w:r>
        <w:rPr>
          <w:rFonts w:hint="default" w:ascii="Times New Roman" w:hAnsi="Times New Roman" w:cs="Times New Roman"/>
          <w:b w:val="0"/>
          <w:color w:val="auto"/>
          <w:kern w:val="2"/>
          <w:sz w:val="32"/>
          <w:szCs w:val="32"/>
          <w:highlight w:val="none"/>
          <w:u w:val="none" w:color="auto"/>
          <w:shd w:val="clear"/>
          <w:lang w:bidi="ar-SA"/>
        </w:rPr>
        <w:t>、木材加工、纺织服装</w:t>
      </w:r>
      <w:r>
        <w:rPr>
          <w:rFonts w:hint="default" w:ascii="Times New Roman" w:hAnsi="Times New Roman" w:cs="Times New Roman"/>
          <w:b w:val="0"/>
          <w:color w:val="auto"/>
          <w:kern w:val="2"/>
          <w:sz w:val="32"/>
          <w:szCs w:val="32"/>
          <w:highlight w:val="none"/>
          <w:u w:val="none" w:color="auto"/>
          <w:shd w:val="clear"/>
          <w:lang w:val="en-US" w:eastAsia="zh-CN" w:bidi="ar-SA"/>
        </w:rPr>
        <w:t>等</w:t>
      </w:r>
      <w:r>
        <w:rPr>
          <w:rFonts w:hint="default" w:ascii="Times New Roman" w:hAnsi="Times New Roman" w:cs="Times New Roman"/>
          <w:b w:val="0"/>
          <w:color w:val="auto"/>
          <w:kern w:val="2"/>
          <w:sz w:val="32"/>
          <w:szCs w:val="32"/>
          <w:highlight w:val="none"/>
          <w:u w:val="none" w:color="auto"/>
          <w:shd w:val="clear"/>
          <w:lang w:bidi="ar-SA"/>
        </w:rPr>
        <w:t>传统产业，锚定智能化、绿色化、融合化方向，重点实施设备更新改造工程，推动传统产业从“规模扩张型”向“质效提升型”跨越</w:t>
      </w:r>
      <w:r>
        <w:rPr>
          <w:rFonts w:hint="default" w:ascii="Times New Roman" w:hAnsi="Times New Roman" w:cs="Times New Roman"/>
          <w:b w:val="0"/>
          <w:color w:val="auto"/>
          <w:kern w:val="2"/>
          <w:sz w:val="32"/>
          <w:szCs w:val="32"/>
          <w:highlight w:val="none"/>
          <w:u w:val="none" w:color="auto"/>
          <w:shd w:val="clear"/>
          <w:lang w:eastAsia="zh-CN" w:bidi="ar-SA"/>
        </w:rPr>
        <w:t>。</w:t>
      </w:r>
      <w:r>
        <w:rPr>
          <w:rFonts w:hint="default" w:ascii="Times New Roman" w:hAnsi="Times New Roman" w:eastAsia="楷体_GB2312" w:cs="Times New Roman"/>
          <w:b w:val="0"/>
          <w:color w:val="auto"/>
          <w:kern w:val="2"/>
          <w:sz w:val="32"/>
          <w:szCs w:val="32"/>
          <w:highlight w:val="none"/>
          <w:u w:val="none" w:color="auto"/>
          <w:shd w:val="clear"/>
          <w:lang w:val="en-US" w:eastAsia="zh-CN" w:bidi="ar-SA"/>
        </w:rPr>
        <w:t>机电设备制造产业。</w:t>
      </w:r>
      <w:r>
        <w:rPr>
          <w:rFonts w:hint="default" w:ascii="Times New Roman" w:hAnsi="Times New Roman" w:cs="Times New Roman"/>
          <w:b w:val="0"/>
          <w:color w:val="auto"/>
          <w:kern w:val="2"/>
          <w:sz w:val="32"/>
          <w:szCs w:val="32"/>
          <w:highlight w:val="none"/>
          <w:u w:val="none" w:color="auto"/>
          <w:shd w:val="clear"/>
          <w:lang w:eastAsia="zh-CN" w:bidi="ar-SA"/>
        </w:rPr>
        <w:t>全力推动机电装备产业向高新化、集群化转型，推动冶金机械等现有优势领域向高端化、系统化升级，重点发展高效、智能、环保的特种冶金设备，鼓励通过技术改造</w:t>
      </w:r>
      <w:r>
        <w:rPr>
          <w:rFonts w:hint="eastAsia" w:ascii="Times New Roman" w:hAnsi="Times New Roman" w:cs="Times New Roman"/>
          <w:b w:val="0"/>
          <w:color w:val="auto"/>
          <w:kern w:val="2"/>
          <w:sz w:val="32"/>
          <w:szCs w:val="32"/>
          <w:highlight w:val="none"/>
          <w:u w:val="none" w:color="auto"/>
          <w:shd w:val="clear"/>
          <w:lang w:eastAsia="zh-CN" w:bidi="ar-SA"/>
        </w:rPr>
        <w:t>和</w:t>
      </w:r>
      <w:r>
        <w:rPr>
          <w:rFonts w:hint="default" w:ascii="Times New Roman" w:hAnsi="Times New Roman" w:cs="Times New Roman"/>
          <w:b w:val="0"/>
          <w:color w:val="auto"/>
          <w:kern w:val="2"/>
          <w:sz w:val="32"/>
          <w:szCs w:val="32"/>
          <w:highlight w:val="none"/>
          <w:u w:val="none" w:color="auto"/>
          <w:shd w:val="clear"/>
          <w:lang w:eastAsia="zh-CN" w:bidi="ar-SA"/>
        </w:rPr>
        <w:t>资源整合，引导中小企业加强与“链主”企业配套协同，推行“链主企业订单+配套企业清单”模式，提升重大装备的成套能力与全生命周期服务水平。</w:t>
      </w:r>
      <w:r>
        <w:rPr>
          <w:rFonts w:hint="default" w:ascii="Times New Roman" w:hAnsi="Times New Roman" w:eastAsia="楷体_GB2312" w:cs="Times New Roman"/>
          <w:b w:val="0"/>
          <w:color w:val="auto"/>
          <w:kern w:val="2"/>
          <w:sz w:val="32"/>
          <w:szCs w:val="32"/>
          <w:highlight w:val="none"/>
          <w:u w:val="none" w:color="auto"/>
          <w:shd w:val="clear"/>
          <w:lang w:val="en-US" w:eastAsia="zh-CN" w:bidi="ar-SA"/>
        </w:rPr>
        <w:t>木材加工领域。</w:t>
      </w:r>
      <w:r>
        <w:rPr>
          <w:rFonts w:hint="default" w:ascii="Times New Roman" w:hAnsi="Times New Roman" w:cs="Times New Roman"/>
          <w:b w:val="0"/>
          <w:color w:val="auto"/>
          <w:kern w:val="2"/>
          <w:sz w:val="32"/>
          <w:szCs w:val="32"/>
          <w:highlight w:val="none"/>
          <w:u w:val="none" w:color="auto"/>
          <w:shd w:val="clear"/>
          <w:lang w:val="en-US" w:eastAsia="zh-CN" w:bidi="ar-SA"/>
        </w:rPr>
        <w:t>推动产业向高端家居与定制家居制品领域延伸，重点发展环保实木家具、智能定制家居、高端木艺装饰材料及功能性木制品，支持企业引进智能化柔性生产线，应用数字化设计</w:t>
      </w:r>
      <w:r>
        <w:rPr>
          <w:rFonts w:hint="default" w:ascii="Times New Roman" w:hAnsi="Times New Roman" w:cs="Times New Roman"/>
          <w:color w:val="auto"/>
          <w:highlight w:val="none"/>
          <w:lang w:val="en-US" w:eastAsia="zh-CN"/>
        </w:rPr>
        <w:t>软件</w:t>
      </w:r>
      <w:r>
        <w:rPr>
          <w:rFonts w:hint="default" w:ascii="Times New Roman" w:hAnsi="Times New Roman" w:cs="Times New Roman"/>
          <w:b w:val="0"/>
          <w:color w:val="auto"/>
          <w:kern w:val="2"/>
          <w:sz w:val="32"/>
          <w:szCs w:val="32"/>
          <w:highlight w:val="none"/>
          <w:u w:val="none" w:color="auto"/>
          <w:shd w:val="clear"/>
          <w:lang w:val="en-US" w:eastAsia="zh-CN" w:bidi="ar-SA"/>
        </w:rPr>
        <w:t>与增材制造技术，提升个性化定制、模块化生产与快速交付能力。重点发展以次小薪材、加工剩余物为原料的高附加值人造板、定向结构板（OSB）及木质复合材料，支持研发无醛添加、阻燃防腐等高性能环保胶黏剂与功能性饰面材料。强化生产过程中粉尘与挥发性有机物（VOCs）的全程高效治理，推广余热利用、能源管理系统等节能技术，建设绿色工厂。巩固提升“木材＋电商”模式</w:t>
      </w:r>
      <w:r>
        <w:rPr>
          <w:rFonts w:hint="eastAsia" w:ascii="Times New Roman" w:hAnsi="Times New Roman" w:cs="Times New Roman"/>
          <w:b w:val="0"/>
          <w:color w:val="auto"/>
          <w:kern w:val="2"/>
          <w:sz w:val="32"/>
          <w:szCs w:val="32"/>
          <w:highlight w:val="none"/>
          <w:u w:val="none" w:color="auto"/>
          <w:shd w:val="clear"/>
          <w:lang w:val="en-US" w:eastAsia="zh-CN" w:bidi="ar-SA"/>
        </w:rPr>
        <w:t>的竞争</w:t>
      </w:r>
      <w:r>
        <w:rPr>
          <w:rFonts w:hint="default" w:ascii="Times New Roman" w:hAnsi="Times New Roman" w:cs="Times New Roman"/>
          <w:b w:val="0"/>
          <w:color w:val="auto"/>
          <w:kern w:val="2"/>
          <w:sz w:val="32"/>
          <w:szCs w:val="32"/>
          <w:highlight w:val="none"/>
          <w:u w:val="none" w:color="auto"/>
          <w:shd w:val="clear"/>
          <w:lang w:val="en-US" w:eastAsia="zh-CN" w:bidi="ar-SA"/>
        </w:rPr>
        <w:t>优势，支持企业利用直播电商、跨境电商等新渠道拓展市场。</w:t>
      </w:r>
      <w:r>
        <w:rPr>
          <w:rFonts w:hint="default" w:ascii="Times New Roman" w:hAnsi="Times New Roman" w:eastAsia="楷体_GB2312" w:cs="Times New Roman"/>
          <w:b w:val="0"/>
          <w:color w:val="auto"/>
          <w:kern w:val="2"/>
          <w:sz w:val="32"/>
          <w:szCs w:val="32"/>
          <w:highlight w:val="none"/>
          <w:u w:val="none" w:color="auto"/>
          <w:shd w:val="clear"/>
          <w:lang w:val="en-US" w:eastAsia="zh-CN" w:bidi="ar-SA"/>
        </w:rPr>
        <w:t>纺织服装领域。</w:t>
      </w:r>
      <w:r>
        <w:rPr>
          <w:rFonts w:hint="default" w:ascii="Times New Roman" w:hAnsi="Times New Roman" w:cs="Times New Roman"/>
          <w:b w:val="0"/>
          <w:color w:val="auto"/>
          <w:kern w:val="2"/>
          <w:sz w:val="32"/>
          <w:szCs w:val="32"/>
          <w:highlight w:val="none"/>
          <w:u w:val="none" w:color="auto"/>
          <w:shd w:val="clear"/>
          <w:lang w:val="en-US" w:eastAsia="zh-CN" w:bidi="ar-SA"/>
        </w:rPr>
        <w:t>推动产业从规模制造向研发设计、智能制造和品牌运营等高附加值环节延伸，重点发展功能性纤维、再生聚酯纤维及高性能复合材料，推动产业向上游高端纤维材料研发制造延伸，补齐印染后整理、功能性面料研发等关键短板。支持开发应用于服装、家纺、产业用纺织品等领域的差异化、高性能面料产品，提升产业基础能力和产业链现代化水平。加快推动“智改数转”，建设行业级工业互联网平台，推广自动化缝制、智能裁剪、AGV物流及AI质检等智能化设备</w:t>
      </w:r>
      <w:r>
        <w:rPr>
          <w:rFonts w:hint="eastAsia" w:ascii="Times New Roman" w:hAnsi="Times New Roman" w:cs="Times New Roman"/>
          <w:b w:val="0"/>
          <w:color w:val="auto"/>
          <w:kern w:val="2"/>
          <w:sz w:val="32"/>
          <w:szCs w:val="32"/>
          <w:highlight w:val="none"/>
          <w:u w:val="none" w:color="auto"/>
          <w:shd w:val="clear"/>
          <w:lang w:val="en-US" w:eastAsia="zh-CN" w:bidi="ar-SA"/>
        </w:rPr>
        <w:t>和</w:t>
      </w:r>
      <w:r>
        <w:rPr>
          <w:rFonts w:hint="default" w:ascii="Times New Roman" w:hAnsi="Times New Roman" w:cs="Times New Roman"/>
          <w:b w:val="0"/>
          <w:color w:val="auto"/>
          <w:kern w:val="2"/>
          <w:sz w:val="32"/>
          <w:szCs w:val="32"/>
          <w:highlight w:val="none"/>
          <w:u w:val="none" w:color="auto"/>
          <w:shd w:val="clear"/>
          <w:lang w:val="en-US" w:eastAsia="zh-CN" w:bidi="ar-SA"/>
        </w:rPr>
        <w:t>系统。支持建设智能工厂和数字化车间，实现生产流程可视化、管控精细化，大幅提升生产效率</w:t>
      </w:r>
      <w:r>
        <w:rPr>
          <w:rFonts w:hint="eastAsia" w:ascii="Times New Roman" w:hAnsi="Times New Roman" w:cs="Times New Roman"/>
          <w:b w:val="0"/>
          <w:color w:val="auto"/>
          <w:kern w:val="2"/>
          <w:sz w:val="32"/>
          <w:szCs w:val="32"/>
          <w:highlight w:val="none"/>
          <w:u w:val="none" w:color="auto"/>
          <w:shd w:val="clear"/>
          <w:lang w:val="en-US" w:eastAsia="zh-CN" w:bidi="ar-SA"/>
        </w:rPr>
        <w:t>，</w:t>
      </w:r>
      <w:r>
        <w:rPr>
          <w:rFonts w:hint="default" w:ascii="Times New Roman" w:hAnsi="Times New Roman" w:cs="Times New Roman"/>
          <w:b w:val="0"/>
          <w:color w:val="auto"/>
          <w:kern w:val="2"/>
          <w:sz w:val="32"/>
          <w:szCs w:val="32"/>
          <w:highlight w:val="none"/>
          <w:u w:val="none" w:color="auto"/>
          <w:shd w:val="clear"/>
          <w:lang w:val="en-US" w:eastAsia="zh-CN" w:bidi="ar-SA"/>
        </w:rPr>
        <w:t>降低运营成本</w:t>
      </w:r>
      <w:r>
        <w:rPr>
          <w:rFonts w:hint="eastAsia" w:ascii="Times New Roman" w:hAnsi="Times New Roman" w:cs="Times New Roman"/>
          <w:b w:val="0"/>
          <w:color w:val="auto"/>
          <w:kern w:val="2"/>
          <w:sz w:val="32"/>
          <w:szCs w:val="32"/>
          <w:highlight w:val="none"/>
          <w:u w:val="none" w:color="auto"/>
          <w:shd w:val="clear"/>
          <w:lang w:val="en-US" w:eastAsia="zh-CN" w:bidi="ar-SA"/>
        </w:rPr>
        <w:t>，</w:t>
      </w:r>
      <w:r>
        <w:rPr>
          <w:rFonts w:hint="default" w:ascii="Times New Roman" w:hAnsi="Times New Roman" w:cs="Times New Roman"/>
          <w:b w:val="0"/>
          <w:color w:val="auto"/>
          <w:kern w:val="2"/>
          <w:sz w:val="32"/>
          <w:szCs w:val="32"/>
          <w:highlight w:val="none"/>
          <w:u w:val="none" w:color="auto"/>
          <w:shd w:val="clear"/>
          <w:lang w:val="en-US" w:eastAsia="zh-CN" w:bidi="ar-SA"/>
        </w:rPr>
        <w:t>缩短产品研发周期。</w:t>
      </w:r>
    </w:p>
    <w:bookmarkEnd w:id="29"/>
    <w:bookmarkEnd w:id="30"/>
    <w:p w14:paraId="5DD40419">
      <w:pPr>
        <w:shd w:val="clear"/>
        <w:spacing w:line="240" w:lineRule="auto"/>
        <w:ind w:firstLine="632"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r>
        <w:rPr>
          <w:rStyle w:val="18"/>
          <w:rFonts w:hint="default" w:ascii="Times New Roman" w:hAnsi="Times New Roman" w:eastAsia="仿宋_GB2312" w:cs="Times New Roman"/>
          <w:b/>
          <w:bCs/>
          <w:i w:val="0"/>
          <w:iCs w:val="0"/>
          <w:caps w:val="0"/>
          <w:color w:val="auto"/>
          <w:spacing w:val="0"/>
          <w:kern w:val="2"/>
          <w:sz w:val="32"/>
          <w:szCs w:val="32"/>
          <w:highlight w:val="none"/>
          <w:u w:val="none" w:color="auto"/>
          <w:shd w:val="clear" w:fill="FFFFFF"/>
          <w:lang w:val="en-US" w:eastAsia="zh-CN" w:bidi="ar-SA"/>
        </w:rPr>
        <w:t>培育壮大新兴产业和未来产业。</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聚焦低空经济、</w:t>
      </w:r>
      <w:r>
        <w:rPr>
          <w:rFonts w:hint="default" w:ascii="Times New Roman" w:hAnsi="Times New Roman" w:cs="Times New Roman"/>
          <w:b w:val="0"/>
          <w:bCs w:val="0"/>
          <w:color w:val="auto"/>
          <w:spacing w:val="0"/>
          <w:kern w:val="2"/>
          <w:sz w:val="32"/>
          <w:szCs w:val="32"/>
          <w:highlight w:val="none"/>
          <w:u w:val="none" w:color="auto"/>
          <w:lang w:val="en-US" w:eastAsia="zh-CN" w:bidi="ar-SA"/>
        </w:rPr>
        <w:t>人工智能、</w:t>
      </w:r>
      <w:r>
        <w:rPr>
          <w:rFonts w:hint="default" w:ascii="Times New Roman" w:hAnsi="Times New Roman" w:eastAsia="仿宋_GB2312" w:cs="Times New Roman"/>
          <w:color w:val="auto"/>
          <w:spacing w:val="0"/>
          <w:kern w:val="2"/>
          <w:sz w:val="32"/>
          <w:szCs w:val="32"/>
          <w:highlight w:val="none"/>
          <w:u w:val="none" w:color="auto"/>
          <w:lang w:val="en-US" w:eastAsia="zh-CN" w:bidi="ar-SA"/>
        </w:rPr>
        <w:t>未来制造</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未来材料等重点培育方向，</w:t>
      </w:r>
      <w:r>
        <w:rPr>
          <w:rFonts w:hint="default" w:ascii="Times New Roman" w:hAnsi="Times New Roman" w:eastAsia="仿宋_GB2312" w:cs="Times New Roman"/>
          <w:color w:val="auto"/>
          <w:spacing w:val="0"/>
          <w:kern w:val="2"/>
          <w:sz w:val="32"/>
          <w:szCs w:val="32"/>
          <w:highlight w:val="none"/>
          <w:u w:val="none" w:color="auto"/>
          <w:lang w:val="en-US" w:eastAsia="zh-CN" w:bidi="ar-SA"/>
        </w:rPr>
        <w:t>着力引进未来产业“链主”企业</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构建全要素保障、全周期服务的产业推进机制</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楷体_GB2312" w:cs="Times New Roman"/>
          <w:b w:val="0"/>
          <w:bCs w:val="0"/>
          <w:color w:val="auto"/>
          <w:spacing w:val="0"/>
          <w:kern w:val="2"/>
          <w:sz w:val="32"/>
          <w:szCs w:val="32"/>
          <w:highlight w:val="none"/>
          <w:u w:val="none" w:color="auto"/>
          <w:lang w:val="en-US" w:eastAsia="zh-CN" w:bidi="ar-SA"/>
        </w:rPr>
        <w:t>新兴产业领域。</w:t>
      </w:r>
      <w:r>
        <w:rPr>
          <w:rFonts w:hint="default" w:ascii="Times New Roman" w:hAnsi="Times New Roman" w:cs="Times New Roman"/>
          <w:color w:val="auto"/>
          <w:spacing w:val="0"/>
          <w:kern w:val="2"/>
          <w:sz w:val="32"/>
          <w:szCs w:val="32"/>
          <w:highlight w:val="none"/>
          <w:u w:val="none" w:color="auto"/>
          <w:lang w:val="en-US" w:eastAsia="zh-CN" w:bidi="ar-SA"/>
        </w:rPr>
        <w:t>加快推动智能无人装备发展，</w:t>
      </w:r>
      <w:r>
        <w:rPr>
          <w:rFonts w:hint="default" w:ascii="Times New Roman" w:hAnsi="Times New Roman" w:eastAsia="仿宋_GB2312" w:cs="Times New Roman"/>
          <w:color w:val="auto"/>
          <w:spacing w:val="0"/>
          <w:kern w:val="2"/>
          <w:sz w:val="32"/>
          <w:szCs w:val="32"/>
          <w:highlight w:val="none"/>
          <w:u w:val="none" w:color="auto"/>
          <w:lang w:val="en-US" w:eastAsia="zh-CN" w:bidi="ar-SA"/>
        </w:rPr>
        <w:t>规划建设</w:t>
      </w:r>
      <w:r>
        <w:rPr>
          <w:rFonts w:hint="default" w:ascii="Times New Roman" w:hAnsi="Times New Roman" w:cs="Times New Roman"/>
          <w:color w:val="auto"/>
          <w:spacing w:val="0"/>
          <w:kern w:val="2"/>
          <w:sz w:val="32"/>
          <w:szCs w:val="32"/>
          <w:highlight w:val="none"/>
          <w:u w:val="none" w:color="auto"/>
          <w:lang w:val="en-US" w:eastAsia="zh-CN" w:bidi="ar-SA"/>
        </w:rPr>
        <w:t>智能制造产业园，推动低空经济实现从基础代加工向产业链核心环节的战略转型，重点突破规模化产能瓶颈，延伸布局零配件制造与整机组装，打造具有竞争力的产业集群。</w:t>
      </w:r>
      <w:r>
        <w:rPr>
          <w:rFonts w:hint="default" w:ascii="Times New Roman" w:hAnsi="Times New Roman" w:eastAsia="仿宋_GB2312" w:cs="Times New Roman"/>
          <w:color w:val="auto"/>
          <w:spacing w:val="0"/>
          <w:kern w:val="2"/>
          <w:sz w:val="32"/>
          <w:szCs w:val="32"/>
          <w:highlight w:val="none"/>
          <w:u w:val="none" w:color="auto"/>
          <w:lang w:val="en-US" w:eastAsia="zh-CN" w:bidi="ar-SA"/>
        </w:rPr>
        <w:t>面向智能制造</w:t>
      </w:r>
      <w:r>
        <w:rPr>
          <w:rFonts w:hint="default" w:ascii="Times New Roman" w:hAnsi="Times New Roman" w:cs="Times New Roman"/>
          <w:color w:val="auto"/>
          <w:spacing w:val="0"/>
          <w:kern w:val="2"/>
          <w:sz w:val="32"/>
          <w:szCs w:val="32"/>
          <w:highlight w:val="none"/>
          <w:u w:val="none" w:color="auto"/>
          <w:lang w:val="en-US" w:eastAsia="zh-CN" w:bidi="ar-SA"/>
        </w:rPr>
        <w:t>和</w:t>
      </w:r>
      <w:r>
        <w:rPr>
          <w:rFonts w:hint="default" w:ascii="Times New Roman" w:hAnsi="Times New Roman" w:eastAsia="仿宋_GB2312" w:cs="Times New Roman"/>
          <w:color w:val="auto"/>
          <w:spacing w:val="0"/>
          <w:kern w:val="2"/>
          <w:sz w:val="32"/>
          <w:szCs w:val="32"/>
          <w:highlight w:val="none"/>
          <w:u w:val="none" w:color="auto"/>
          <w:lang w:val="en-US" w:eastAsia="zh-CN" w:bidi="ar-SA"/>
        </w:rPr>
        <w:t>无人化</w:t>
      </w:r>
      <w:r>
        <w:rPr>
          <w:rFonts w:hint="default" w:ascii="Times New Roman" w:hAnsi="Times New Roman" w:cs="Times New Roman"/>
          <w:color w:val="auto"/>
          <w:spacing w:val="0"/>
          <w:kern w:val="2"/>
          <w:sz w:val="32"/>
          <w:szCs w:val="32"/>
          <w:highlight w:val="none"/>
          <w:u w:val="none" w:color="auto"/>
          <w:lang w:val="en-US" w:eastAsia="zh-CN" w:bidi="ar-SA"/>
        </w:rPr>
        <w:t>发展</w:t>
      </w:r>
      <w:r>
        <w:rPr>
          <w:rFonts w:hint="default" w:ascii="Times New Roman" w:hAnsi="Times New Roman" w:eastAsia="仿宋_GB2312" w:cs="Times New Roman"/>
          <w:color w:val="auto"/>
          <w:spacing w:val="0"/>
          <w:kern w:val="2"/>
          <w:sz w:val="32"/>
          <w:szCs w:val="32"/>
          <w:highlight w:val="none"/>
          <w:u w:val="none" w:color="auto"/>
          <w:lang w:val="en-US" w:eastAsia="zh-CN" w:bidi="ar-SA"/>
        </w:rPr>
        <w:t>趋势，重点培育智能无人装备、工业机器人等新兴领域</w:t>
      </w:r>
      <w:r>
        <w:rPr>
          <w:rFonts w:hint="eastAsia" w:ascii="Times New Roman" w:hAnsi="Times New Roman" w:cs="Times New Roman"/>
          <w:color w:val="auto"/>
          <w:spacing w:val="0"/>
          <w:kern w:val="2"/>
          <w:sz w:val="32"/>
          <w:szCs w:val="32"/>
          <w:highlight w:val="none"/>
          <w:u w:val="none" w:color="auto"/>
          <w:lang w:val="en-US" w:eastAsia="zh-CN" w:bidi="ar-SA"/>
        </w:rPr>
        <w:t>产业</w:t>
      </w:r>
      <w:r>
        <w:rPr>
          <w:rFonts w:hint="default" w:ascii="Times New Roman" w:hAnsi="Times New Roman" w:eastAsia="仿宋_GB2312" w:cs="Times New Roman"/>
          <w:color w:val="auto"/>
          <w:spacing w:val="0"/>
          <w:kern w:val="2"/>
          <w:sz w:val="32"/>
          <w:szCs w:val="32"/>
          <w:highlight w:val="none"/>
          <w:u w:val="none" w:color="auto"/>
          <w:lang w:val="en-US" w:eastAsia="zh-CN" w:bidi="ar-SA"/>
        </w:rPr>
        <w:t>。全力突破高性能无人系统的自主研发与制造，带动传统产业智能化改造</w:t>
      </w:r>
      <w:r>
        <w:rPr>
          <w:rFonts w:hint="default" w:ascii="Times New Roman" w:hAnsi="Times New Roman" w:cs="Times New Roman"/>
          <w:color w:val="auto"/>
          <w:spacing w:val="0"/>
          <w:kern w:val="2"/>
          <w:sz w:val="32"/>
          <w:szCs w:val="32"/>
          <w:highlight w:val="none"/>
          <w:u w:val="none" w:color="auto"/>
          <w:lang w:val="en-US" w:eastAsia="zh-CN" w:bidi="ar-SA"/>
        </w:rPr>
        <w:t>和</w:t>
      </w:r>
      <w:r>
        <w:rPr>
          <w:rFonts w:hint="default" w:ascii="Times New Roman" w:hAnsi="Times New Roman" w:eastAsia="仿宋_GB2312" w:cs="Times New Roman"/>
          <w:color w:val="auto"/>
          <w:spacing w:val="0"/>
          <w:kern w:val="2"/>
          <w:sz w:val="32"/>
          <w:szCs w:val="32"/>
          <w:highlight w:val="none"/>
          <w:u w:val="none" w:color="auto"/>
          <w:lang w:val="en-US" w:eastAsia="zh-CN" w:bidi="ar-SA"/>
        </w:rPr>
        <w:t>绿色化升级，形成新的产值增长点。</w:t>
      </w:r>
      <w:r>
        <w:rPr>
          <w:rFonts w:hint="default" w:ascii="Times New Roman" w:hAnsi="Times New Roman" w:eastAsia="楷体_GB2312" w:cs="Times New Roman"/>
          <w:b w:val="0"/>
          <w:bCs w:val="0"/>
          <w:color w:val="auto"/>
          <w:spacing w:val="0"/>
          <w:kern w:val="2"/>
          <w:sz w:val="32"/>
          <w:szCs w:val="32"/>
          <w:highlight w:val="none"/>
          <w:u w:val="none" w:color="auto"/>
          <w:lang w:val="en-US" w:eastAsia="zh-CN" w:bidi="ar-SA"/>
        </w:rPr>
        <w:t>未来产业领域。</w:t>
      </w:r>
      <w:r>
        <w:rPr>
          <w:rFonts w:hint="default" w:ascii="Times New Roman" w:hAnsi="Times New Roman" w:eastAsia="仿宋_GB2312" w:cs="Times New Roman"/>
          <w:color w:val="auto"/>
          <w:spacing w:val="0"/>
          <w:kern w:val="2"/>
          <w:sz w:val="32"/>
          <w:szCs w:val="32"/>
          <w:highlight w:val="none"/>
          <w:u w:val="none" w:color="auto"/>
          <w:lang w:val="en-US" w:eastAsia="zh-CN" w:bidi="ar-SA"/>
        </w:rPr>
        <w:t>推动“人工智能</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”产业加速成型，重点发展智慧农业、智慧制造、智慧养老等，积极开展人工智能</w:t>
      </w:r>
      <w:r>
        <w:rPr>
          <w:rFonts w:hint="default" w:ascii="Times New Roman" w:hAnsi="Times New Roman" w:cs="Times New Roman"/>
          <w:color w:val="auto"/>
          <w:spacing w:val="0"/>
          <w:kern w:val="2"/>
          <w:sz w:val="32"/>
          <w:szCs w:val="32"/>
          <w:highlight w:val="none"/>
          <w:u w:val="none" w:color="auto"/>
          <w:lang w:val="en-US" w:eastAsia="zh-CN" w:bidi="ar-SA"/>
        </w:rPr>
        <w:t>场景</w:t>
      </w:r>
      <w:r>
        <w:rPr>
          <w:rFonts w:hint="default" w:ascii="Times New Roman" w:hAnsi="Times New Roman" w:eastAsia="仿宋_GB2312" w:cs="Times New Roman"/>
          <w:color w:val="auto"/>
          <w:spacing w:val="0"/>
          <w:kern w:val="2"/>
          <w:sz w:val="32"/>
          <w:szCs w:val="32"/>
          <w:highlight w:val="none"/>
          <w:u w:val="none" w:color="auto"/>
          <w:lang w:val="en-US" w:eastAsia="zh-CN" w:bidi="ar-SA"/>
        </w:rPr>
        <w:t>应用，推动人工智能广泛应用与加速迭代。重点布局智能制造，推广柔性制造等共享模式和智能制造应用场景。</w:t>
      </w:r>
      <w:r>
        <w:rPr>
          <w:rFonts w:hint="default" w:ascii="Times New Roman" w:hAnsi="Times New Roman" w:cs="Times New Roman"/>
          <w:color w:val="auto"/>
          <w:spacing w:val="0"/>
          <w:kern w:val="2"/>
          <w:sz w:val="32"/>
          <w:szCs w:val="32"/>
          <w:highlight w:val="none"/>
          <w:u w:val="none" w:color="auto"/>
          <w:lang w:val="en-US" w:eastAsia="zh-CN" w:bidi="ar-SA"/>
        </w:rPr>
        <w:t>布局</w:t>
      </w:r>
      <w:r>
        <w:rPr>
          <w:rFonts w:hint="default" w:ascii="Times New Roman" w:hAnsi="Times New Roman" w:eastAsia="仿宋_GB2312" w:cs="Times New Roman"/>
          <w:color w:val="auto"/>
          <w:spacing w:val="0"/>
          <w:kern w:val="2"/>
          <w:sz w:val="32"/>
          <w:szCs w:val="32"/>
          <w:highlight w:val="none"/>
          <w:u w:val="none" w:color="auto"/>
          <w:lang w:val="en-US" w:eastAsia="zh-CN" w:bidi="ar-SA"/>
        </w:rPr>
        <w:t>未来材料产业</w:t>
      </w:r>
      <w:r>
        <w:rPr>
          <w:rFonts w:hint="default" w:ascii="Times New Roman" w:hAnsi="Times New Roman" w:cs="Times New Roman"/>
          <w:color w:val="auto"/>
          <w:spacing w:val="0"/>
          <w:kern w:val="2"/>
          <w:sz w:val="32"/>
          <w:szCs w:val="32"/>
          <w:highlight w:val="none"/>
          <w:u w:val="none" w:color="auto"/>
          <w:lang w:val="en-US" w:eastAsia="zh-CN" w:bidi="ar-SA"/>
        </w:rPr>
        <w:t>。探索</w:t>
      </w:r>
      <w:r>
        <w:rPr>
          <w:rFonts w:hint="default" w:ascii="Times New Roman" w:hAnsi="Times New Roman" w:eastAsia="仿宋_GB2312" w:cs="Times New Roman"/>
          <w:color w:val="auto"/>
          <w:spacing w:val="0"/>
          <w:kern w:val="2"/>
          <w:sz w:val="32"/>
          <w:szCs w:val="32"/>
          <w:highlight w:val="none"/>
          <w:u w:val="none" w:color="auto"/>
          <w:lang w:val="en-US" w:eastAsia="zh-CN" w:bidi="ar-SA"/>
        </w:rPr>
        <w:t>布局生物基材料、先进高分子材料、金属复合材料等前沿领域，大力发展秸秆高值化利用，推动生物基材料与化工等传统产业体系耦合发展。</w:t>
      </w:r>
    </w:p>
    <w:p w14:paraId="2A3A60B4">
      <w:pPr>
        <w:jc w:val="center"/>
        <w:rPr>
          <w:rFonts w:hint="default" w:ascii="Times New Roman" w:hAnsi="Times New Roman" w:eastAsia="黑体" w:cs="Times New Roman"/>
          <w:color w:val="auto"/>
          <w:spacing w:val="0"/>
          <w:sz w:val="28"/>
          <w:szCs w:val="28"/>
          <w:highlight w:val="none"/>
          <w:u w:val="none" w:color="auto"/>
          <w:lang w:val="en-US" w:eastAsia="zh-CN"/>
        </w:rPr>
      </w:pPr>
    </w:p>
    <w:p w14:paraId="36251685">
      <w:pPr>
        <w:jc w:val="center"/>
        <w:rPr>
          <w:rFonts w:hint="default" w:ascii="Times New Roman" w:hAnsi="Times New Roman" w:eastAsia="黑体" w:cs="Times New Roman"/>
          <w:color w:val="auto"/>
          <w:spacing w:val="0"/>
          <w:sz w:val="28"/>
          <w:szCs w:val="28"/>
          <w:highlight w:val="none"/>
          <w:u w:val="none" w:color="auto"/>
          <w:lang w:val="en-US" w:eastAsia="zh-CN"/>
        </w:rPr>
      </w:pPr>
    </w:p>
    <w:p w14:paraId="62F90800">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专栏2 做大做强做优6条产业链</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85C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75FB064">
            <w:pPr>
              <w:keepNext w:val="0"/>
              <w:keepLines w:val="0"/>
              <w:pageBreakBefore w:val="0"/>
              <w:shd w:val="clear"/>
              <w:kinsoku/>
              <w:wordWrap/>
              <w:overflowPunct w:val="0"/>
              <w:topLinePunct w:val="0"/>
              <w:autoSpaceDE/>
              <w:autoSpaceDN/>
              <w:bidi w:val="0"/>
              <w:spacing w:line="500" w:lineRule="exact"/>
              <w:ind w:firstLine="552" w:firstLineChars="200"/>
              <w:textAlignment w:val="auto"/>
              <w:rPr>
                <w:rFonts w:hint="default" w:ascii="Times New Roman" w:hAnsi="Times New Roman" w:cs="Times New Roman"/>
                <w:i w:val="0"/>
                <w:iCs w:val="0"/>
                <w:caps w:val="0"/>
                <w:color w:val="auto"/>
                <w:spacing w:val="0"/>
                <w:sz w:val="28"/>
                <w:szCs w:val="28"/>
                <w:highlight w:val="none"/>
                <w:u w:val="none" w:color="auto"/>
                <w:shd w:val="clear" w:fill="FFFFFF"/>
                <w:lang w:val="en-US" w:eastAsia="zh-CN"/>
              </w:rPr>
            </w:pPr>
            <w:r>
              <w:rPr>
                <w:rFonts w:hint="default" w:ascii="Times New Roman" w:hAnsi="Times New Roman" w:eastAsia="楷体_GB2312" w:cs="Times New Roman"/>
                <w:b w:val="0"/>
                <w:bCs w:val="0"/>
                <w:color w:val="auto"/>
                <w:kern w:val="2"/>
                <w:sz w:val="28"/>
                <w:szCs w:val="28"/>
                <w:highlight w:val="none"/>
                <w:u w:val="none" w:color="auto"/>
                <w:shd w:val="clear" w:fill="FFFFFF"/>
                <w:lang w:val="en-US" w:eastAsia="zh-CN" w:bidi="ar-SA"/>
              </w:rPr>
              <w:t>1.现代医药产业链。</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聚焦甾体药物、青霉素两大核心产业链，推动</w:t>
            </w:r>
            <w:r>
              <w:rPr>
                <w:rFonts w:hint="eastAsia" w:ascii="Times New Roman" w:hAnsi="Times New Roman" w:cs="Times New Roman"/>
                <w:i w:val="0"/>
                <w:iCs w:val="0"/>
                <w:caps w:val="0"/>
                <w:color w:val="auto"/>
                <w:spacing w:val="0"/>
                <w:sz w:val="28"/>
                <w:szCs w:val="28"/>
                <w:highlight w:val="none"/>
                <w:u w:val="none" w:color="auto"/>
                <w:shd w:val="clear" w:fill="FFFFFF"/>
                <w:lang w:val="en-US"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核心中间体</w:t>
            </w:r>
            <w:r>
              <w:rPr>
                <w:rFonts w:hint="eastAsia" w:ascii="Times New Roman" w:hAnsi="Times New Roman" w:cs="Times New Roman"/>
                <w:i w:val="0"/>
                <w:iCs w:val="0"/>
                <w:caps w:val="0"/>
                <w:color w:val="auto"/>
                <w:spacing w:val="0"/>
                <w:sz w:val="28"/>
                <w:szCs w:val="28"/>
                <w:highlight w:val="none"/>
                <w:u w:val="none" w:color="auto"/>
                <w:shd w:val="clear" w:fill="FFFFFF"/>
                <w:lang w:val="en-US"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高端原料药</w:t>
            </w:r>
            <w:r>
              <w:rPr>
                <w:rFonts w:hint="eastAsia" w:ascii="Times New Roman" w:hAnsi="Times New Roman" w:cs="Times New Roman"/>
                <w:i w:val="0"/>
                <w:iCs w:val="0"/>
                <w:caps w:val="0"/>
                <w:color w:val="auto"/>
                <w:spacing w:val="0"/>
                <w:sz w:val="28"/>
                <w:szCs w:val="28"/>
                <w:highlight w:val="none"/>
                <w:u w:val="none" w:color="auto"/>
                <w:shd w:val="clear" w:fill="FFFFFF"/>
                <w:lang w:val="en-US"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成品药</w:t>
            </w:r>
            <w:r>
              <w:rPr>
                <w:rFonts w:hint="eastAsia" w:ascii="Times New Roman" w:hAnsi="Times New Roman" w:cs="Times New Roman"/>
                <w:i w:val="0"/>
                <w:iCs w:val="0"/>
                <w:caps w:val="0"/>
                <w:color w:val="auto"/>
                <w:spacing w:val="0"/>
                <w:sz w:val="28"/>
                <w:szCs w:val="28"/>
                <w:highlight w:val="none"/>
                <w:u w:val="none" w:color="auto"/>
                <w:shd w:val="clear" w:fill="FFFFFF"/>
                <w:lang w:val="en-US"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一体化发展，向创新药、高端医疗器械等高附加值领域拓展</w:t>
            </w:r>
            <w:r>
              <w:rPr>
                <w:rFonts w:hint="default" w:ascii="Times New Roman" w:hAnsi="Times New Roman" w:cs="Times New Roman"/>
                <w:i w:val="0"/>
                <w:iCs w:val="0"/>
                <w:caps w:val="0"/>
                <w:color w:val="auto"/>
                <w:spacing w:val="0"/>
                <w:sz w:val="28"/>
                <w:szCs w:val="28"/>
                <w:highlight w:val="none"/>
                <w:u w:val="none" w:color="auto"/>
                <w:shd w:val="clear" w:fill="FFFFFF"/>
                <w:lang w:val="en-US" w:eastAsia="zh-CN"/>
              </w:rPr>
              <w:t>，对接全国百强化学药、医疗器械企业，引导培育首仿药、高端医疗器械及前沿产业增长点，全力将定陶区现代医药产业打造成省级特色产业集群。</w:t>
            </w:r>
          </w:p>
          <w:p w14:paraId="6D0F6BFD">
            <w:pPr>
              <w:keepNext w:val="0"/>
              <w:keepLines w:val="0"/>
              <w:pageBreakBefore w:val="0"/>
              <w:shd w:val="clear"/>
              <w:kinsoku/>
              <w:wordWrap/>
              <w:overflowPunct w:val="0"/>
              <w:topLinePunct w:val="0"/>
              <w:autoSpaceDE/>
              <w:autoSpaceDN/>
              <w:bidi w:val="0"/>
              <w:spacing w:line="500" w:lineRule="exact"/>
              <w:ind w:firstLine="552" w:firstLineChars="200"/>
              <w:textAlignment w:val="auto"/>
              <w:rPr>
                <w:rFonts w:hint="default" w:ascii="Times New Roman" w:hAnsi="Times New Roman" w:eastAsia="仿宋_GB2312" w:cs="Times New Roman"/>
                <w:b w:val="0"/>
                <w:bCs w:val="0"/>
                <w:i w:val="0"/>
                <w:iCs w:val="0"/>
                <w:caps w:val="0"/>
                <w:color w:val="auto"/>
                <w:spacing w:val="0"/>
                <w:sz w:val="28"/>
                <w:szCs w:val="28"/>
                <w:highlight w:val="none"/>
                <w:u w:val="none" w:color="auto"/>
                <w:shd w:val="clear" w:fill="FFFFFF"/>
              </w:rPr>
            </w:pPr>
            <w:r>
              <w:rPr>
                <w:rFonts w:hint="default" w:ascii="Times New Roman" w:hAnsi="Times New Roman" w:eastAsia="楷体_GB2312" w:cs="Times New Roman"/>
                <w:b w:val="0"/>
                <w:bCs w:val="0"/>
                <w:color w:val="auto"/>
                <w:kern w:val="2"/>
                <w:sz w:val="28"/>
                <w:szCs w:val="28"/>
                <w:highlight w:val="none"/>
                <w:u w:val="none" w:color="auto"/>
                <w:shd w:val="clear" w:fill="FFFFFF"/>
                <w:lang w:val="en-US" w:eastAsia="zh-CN" w:bidi="ar-SA"/>
              </w:rPr>
              <w:t>2.</w:t>
            </w:r>
            <w:r>
              <w:rPr>
                <w:rFonts w:hint="default" w:ascii="Times New Roman" w:hAnsi="Times New Roman" w:eastAsia="楷体_GB2312" w:cs="Times New Roman"/>
                <w:b w:val="0"/>
                <w:bCs w:val="0"/>
                <w:color w:val="auto"/>
                <w:sz w:val="28"/>
                <w:szCs w:val="28"/>
                <w:highlight w:val="none"/>
                <w:u w:val="none" w:color="auto"/>
                <w:shd w:val="clear" w:fill="FFFFFF"/>
                <w:lang w:bidi="ar-SA"/>
              </w:rPr>
              <w:t>新材料</w:t>
            </w:r>
            <w:r>
              <w:rPr>
                <w:rFonts w:hint="default" w:ascii="Times New Roman" w:hAnsi="Times New Roman" w:eastAsia="楷体_GB2312" w:cs="Times New Roman"/>
                <w:b w:val="0"/>
                <w:bCs w:val="0"/>
                <w:color w:val="auto"/>
                <w:kern w:val="2"/>
                <w:sz w:val="28"/>
                <w:szCs w:val="28"/>
                <w:highlight w:val="none"/>
                <w:u w:val="none" w:color="auto"/>
                <w:shd w:val="clear" w:fill="FFFFFF"/>
                <w:lang w:val="en-US" w:eastAsia="zh-CN" w:bidi="ar-SA"/>
              </w:rPr>
              <w:t>产业链。</w:t>
            </w:r>
            <w:r>
              <w:rPr>
                <w:rFonts w:hint="eastAsia" w:ascii="仿宋_GB2312" w:hAnsi="仿宋_GB2312" w:eastAsia="仿宋_GB2312" w:cs="仿宋_GB2312"/>
                <w:b/>
                <w:bCs/>
                <w:i w:val="0"/>
                <w:iCs w:val="0"/>
                <w:caps w:val="0"/>
                <w:color w:val="auto"/>
                <w:spacing w:val="0"/>
                <w:sz w:val="28"/>
                <w:szCs w:val="28"/>
                <w:highlight w:val="none"/>
                <w:u w:val="none" w:color="auto"/>
                <w:shd w:val="clear" w:fill="FFFFFF"/>
              </w:rPr>
              <w:t>化工新材料集群：</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发展医用聚合物、长碳链二元酸等产品。</w:t>
            </w:r>
            <w:r>
              <w:rPr>
                <w:rFonts w:hint="default" w:ascii="Times New Roman" w:hAnsi="Times New Roman" w:eastAsia="楷体_GB2312" w:cs="Times New Roman"/>
                <w:b w:val="0"/>
                <w:bCs w:val="0"/>
                <w:i w:val="0"/>
                <w:iCs w:val="0"/>
                <w:caps w:val="0"/>
                <w:color w:val="auto"/>
                <w:spacing w:val="0"/>
                <w:sz w:val="28"/>
                <w:szCs w:val="28"/>
                <w:highlight w:val="none"/>
                <w:u w:val="none" w:color="auto"/>
                <w:shd w:val="clear" w:fill="FFFFFF"/>
              </w:rPr>
              <w:t>半导体新材料集群：</w:t>
            </w:r>
            <w:r>
              <w:rPr>
                <w:rFonts w:hint="default" w:ascii="Times New Roman" w:hAnsi="Times New Roman" w:eastAsia="仿宋_GB2312" w:cs="Times New Roman"/>
                <w:b w:val="0"/>
                <w:bCs w:val="0"/>
                <w:i w:val="0"/>
                <w:iCs w:val="0"/>
                <w:caps w:val="0"/>
                <w:color w:val="auto"/>
                <w:spacing w:val="0"/>
                <w:sz w:val="28"/>
                <w:szCs w:val="28"/>
                <w:highlight w:val="none"/>
                <w:u w:val="none" w:color="auto"/>
                <w:shd w:val="clear" w:fill="FFFFFF"/>
                <w:lang w:val="en-US" w:eastAsia="zh-CN"/>
              </w:rPr>
              <w:t>加快</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推动橡胶改性剂及前沿材料研发量产；支持机械再生半导体金属硅项目达产。</w:t>
            </w:r>
            <w:r>
              <w:rPr>
                <w:rFonts w:hint="eastAsia" w:ascii="仿宋_GB2312" w:hAnsi="仿宋_GB2312" w:eastAsia="仿宋_GB2312" w:cs="仿宋_GB2312"/>
                <w:b/>
                <w:bCs/>
                <w:i w:val="0"/>
                <w:iCs w:val="0"/>
                <w:caps w:val="0"/>
                <w:color w:val="auto"/>
                <w:spacing w:val="0"/>
                <w:sz w:val="28"/>
                <w:szCs w:val="28"/>
                <w:highlight w:val="none"/>
                <w:u w:val="none" w:color="auto"/>
                <w:shd w:val="clear" w:fill="FFFFFF"/>
              </w:rPr>
              <w:t>电子新材料集群：</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聚焦国防军工、5G/6G通信、AI智能等领域，发展吸波材料、高端导热材料等，打造“军工</w:t>
            </w:r>
            <w:r>
              <w:rPr>
                <w:rFonts w:hint="default" w:ascii="Times New Roman" w:hAnsi="Times New Roman" w:cs="Times New Roman"/>
                <w:i w:val="0"/>
                <w:iCs w:val="0"/>
                <w:caps w:val="0"/>
                <w:color w:val="auto"/>
                <w:spacing w:val="0"/>
                <w:sz w:val="28"/>
                <w:szCs w:val="28"/>
                <w:highlight w:val="none"/>
                <w:u w:val="none" w:color="auto"/>
                <w:shd w:val="clear" w:fill="FFFFFF"/>
                <w:lang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民用”双轮驱动模式。</w:t>
            </w:r>
            <w:r>
              <w:rPr>
                <w:rFonts w:hint="eastAsia" w:ascii="仿宋_GB2312" w:hAnsi="仿宋_GB2312" w:eastAsia="仿宋_GB2312" w:cs="仿宋_GB2312"/>
                <w:b/>
                <w:bCs/>
                <w:i w:val="0"/>
                <w:iCs w:val="0"/>
                <w:caps w:val="0"/>
                <w:color w:val="auto"/>
                <w:spacing w:val="0"/>
                <w:sz w:val="28"/>
                <w:szCs w:val="28"/>
                <w:highlight w:val="none"/>
                <w:u w:val="none" w:color="auto"/>
                <w:shd w:val="clear" w:fill="FFFFFF"/>
              </w:rPr>
              <w:t>高端纤维智能制造集群：</w:t>
            </w:r>
            <w:r>
              <w:rPr>
                <w:rFonts w:hint="default" w:ascii="Times New Roman" w:hAnsi="Times New Roman" w:eastAsia="仿宋_GB2312" w:cs="Times New Roman"/>
                <w:b w:val="0"/>
                <w:bCs w:val="0"/>
                <w:i w:val="0"/>
                <w:iCs w:val="0"/>
                <w:caps w:val="0"/>
                <w:color w:val="auto"/>
                <w:spacing w:val="0"/>
                <w:sz w:val="28"/>
                <w:szCs w:val="28"/>
                <w:highlight w:val="none"/>
                <w:u w:val="none" w:color="auto"/>
                <w:shd w:val="clear" w:fill="FFFFFF"/>
              </w:rPr>
              <w:t>以纺织为核心，发展功能性面料，推动智能化升级。</w:t>
            </w:r>
          </w:p>
          <w:p w14:paraId="2C900D00">
            <w:pPr>
              <w:keepNext w:val="0"/>
              <w:keepLines w:val="0"/>
              <w:pageBreakBefore w:val="0"/>
              <w:widowControl w:val="0"/>
              <w:shd w:val="clear"/>
              <w:kinsoku/>
              <w:wordWrap/>
              <w:overflowPunct w:val="0"/>
              <w:topLinePunct w:val="0"/>
              <w:autoSpaceDE/>
              <w:autoSpaceDN/>
              <w:bidi w:val="0"/>
              <w:adjustRightInd/>
              <w:snapToGrid/>
              <w:spacing w:line="500" w:lineRule="exact"/>
              <w:ind w:firstLine="552" w:firstLineChars="200"/>
              <w:textAlignment w:val="auto"/>
              <w:rPr>
                <w:rFonts w:hint="default" w:ascii="Times New Roman" w:hAnsi="Times New Roman" w:cs="Times New Roman"/>
                <w:i w:val="0"/>
                <w:iCs w:val="0"/>
                <w:caps w:val="0"/>
                <w:color w:val="auto"/>
                <w:spacing w:val="0"/>
                <w:sz w:val="28"/>
                <w:szCs w:val="28"/>
                <w:highlight w:val="none"/>
                <w:u w:val="none" w:color="auto"/>
                <w:shd w:val="clear" w:fill="FFFFFF"/>
                <w:lang w:eastAsia="zh-CN"/>
              </w:rPr>
            </w:pPr>
            <w:r>
              <w:rPr>
                <w:rFonts w:hint="default" w:ascii="Times New Roman" w:hAnsi="Times New Roman" w:eastAsia="楷体_GB2312" w:cs="Times New Roman"/>
                <w:b w:val="0"/>
                <w:bCs w:val="0"/>
                <w:color w:val="auto"/>
                <w:kern w:val="2"/>
                <w:sz w:val="28"/>
                <w:szCs w:val="28"/>
                <w:highlight w:val="none"/>
                <w:u w:val="none" w:color="auto"/>
                <w:shd w:val="clear" w:fill="FFFFFF"/>
                <w:lang w:val="en-US" w:eastAsia="zh-CN" w:bidi="ar-SA"/>
              </w:rPr>
              <w:t>3.新能源产业链。</w:t>
            </w:r>
            <w:r>
              <w:rPr>
                <w:rFonts w:hint="default" w:ascii="Times New Roman" w:hAnsi="Times New Roman" w:cs="Times New Roman"/>
                <w:i w:val="0"/>
                <w:iCs w:val="0"/>
                <w:caps w:val="0"/>
                <w:color w:val="auto"/>
                <w:spacing w:val="0"/>
                <w:sz w:val="28"/>
                <w:szCs w:val="28"/>
                <w:highlight w:val="none"/>
                <w:u w:val="none" w:color="auto"/>
                <w:shd w:val="clear" w:fill="FFFFFF"/>
                <w:lang w:val="en-US" w:eastAsia="zh-CN"/>
              </w:rPr>
              <w:t>聚焦动力电池、风电光伏零部件制造等机电设备制造项目，加快建设集中式、分散式风电项目及整县制分布式光伏，</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配套建设集中式储能电站，</w:t>
            </w:r>
            <w:r>
              <w:rPr>
                <w:rFonts w:hint="default" w:ascii="Times New Roman" w:hAnsi="Times New Roman" w:cs="Times New Roman"/>
                <w:i w:val="0"/>
                <w:iCs w:val="0"/>
                <w:caps w:val="0"/>
                <w:color w:val="auto"/>
                <w:spacing w:val="0"/>
                <w:sz w:val="28"/>
                <w:szCs w:val="28"/>
                <w:highlight w:val="none"/>
                <w:u w:val="none" w:color="auto"/>
                <w:shd w:val="clear" w:fill="FFFFFF"/>
                <w:lang w:eastAsia="zh-CN"/>
              </w:rPr>
              <w:t>在新能源汽车电池、电机和电控等零部件制造项目招引上实现突破。</w:t>
            </w:r>
          </w:p>
          <w:p w14:paraId="590104F9">
            <w:pPr>
              <w:keepNext w:val="0"/>
              <w:keepLines w:val="0"/>
              <w:pageBreakBefore w:val="0"/>
              <w:widowControl w:val="0"/>
              <w:shd w:val="clear"/>
              <w:kinsoku/>
              <w:wordWrap/>
              <w:overflowPunct w:val="0"/>
              <w:topLinePunct w:val="0"/>
              <w:autoSpaceDE/>
              <w:autoSpaceDN/>
              <w:bidi w:val="0"/>
              <w:adjustRightInd/>
              <w:snapToGrid/>
              <w:spacing w:line="500" w:lineRule="exact"/>
              <w:ind w:firstLine="552" w:firstLineChars="200"/>
              <w:textAlignment w:val="auto"/>
              <w:rPr>
                <w:rFonts w:hint="default" w:ascii="Times New Roman" w:hAnsi="Times New Roman" w:cs="Times New Roman"/>
                <w:i w:val="0"/>
                <w:iCs w:val="0"/>
                <w:caps w:val="0"/>
                <w:color w:val="auto"/>
                <w:spacing w:val="0"/>
                <w:sz w:val="28"/>
                <w:szCs w:val="28"/>
                <w:highlight w:val="none"/>
                <w:u w:val="none" w:color="auto"/>
                <w:shd w:val="clear" w:fill="FFFFFF"/>
                <w:lang w:val="en-US" w:eastAsia="zh-CN"/>
              </w:rPr>
            </w:pPr>
            <w:r>
              <w:rPr>
                <w:rFonts w:hint="default" w:ascii="Times New Roman" w:hAnsi="Times New Roman" w:eastAsia="楷体_GB2312" w:cs="Times New Roman"/>
                <w:b w:val="0"/>
                <w:bCs w:val="0"/>
                <w:color w:val="auto"/>
                <w:kern w:val="2"/>
                <w:sz w:val="28"/>
                <w:szCs w:val="28"/>
                <w:highlight w:val="none"/>
                <w:u w:val="none" w:color="auto"/>
                <w:shd w:val="clear" w:fill="FFFFFF"/>
                <w:lang w:val="en-US" w:eastAsia="zh-CN" w:bidi="ar-SA"/>
              </w:rPr>
              <w:t>4.机电设备制造产业链。</w:t>
            </w:r>
            <w:r>
              <w:rPr>
                <w:rFonts w:hint="default" w:ascii="Times New Roman" w:hAnsi="Times New Roman" w:cs="Times New Roman"/>
                <w:i w:val="0"/>
                <w:iCs w:val="0"/>
                <w:caps w:val="0"/>
                <w:color w:val="auto"/>
                <w:spacing w:val="0"/>
                <w:sz w:val="28"/>
                <w:szCs w:val="28"/>
                <w:highlight w:val="none"/>
                <w:u w:val="none" w:color="auto"/>
                <w:shd w:val="clear" w:fill="FFFFFF"/>
                <w:lang w:val="en-US" w:eastAsia="zh-CN"/>
              </w:rPr>
              <w:t>聚焦“补链、强链、延链”，加快推进智能环保回转窑、智能无人装备、智能制造产业园等重大项目建设。加快推动设备展销制造中心建设，发展机械手制造、智能工业机器人，从传统制造向智能自动化制造升级，推动实现从“基础冶金机械”到“高端设备制造”领域的重要跨越，实现多元化发展。</w:t>
            </w:r>
          </w:p>
          <w:p w14:paraId="1290839D">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500" w:lineRule="exact"/>
              <w:ind w:right="0" w:firstLine="552" w:firstLineChars="200"/>
              <w:jc w:val="both"/>
              <w:textAlignment w:val="auto"/>
              <w:rPr>
                <w:rFonts w:hint="default" w:ascii="Times New Roman" w:hAnsi="Times New Roman" w:cs="Times New Roman"/>
                <w:color w:val="auto"/>
                <w:sz w:val="28"/>
                <w:szCs w:val="28"/>
                <w:highlight w:val="none"/>
                <w:u w:val="none" w:color="auto"/>
                <w:lang w:val="en-US" w:eastAsia="zh-CN"/>
              </w:rPr>
            </w:pPr>
            <w:r>
              <w:rPr>
                <w:rFonts w:hint="default" w:ascii="Times New Roman" w:hAnsi="Times New Roman" w:eastAsia="楷体_GB2312" w:cs="Times New Roman"/>
                <w:b w:val="0"/>
                <w:bCs w:val="0"/>
                <w:color w:val="auto"/>
                <w:kern w:val="2"/>
                <w:sz w:val="28"/>
                <w:szCs w:val="28"/>
                <w:highlight w:val="none"/>
                <w:u w:val="none" w:color="auto"/>
                <w:shd w:val="clear" w:fill="FFFFFF"/>
                <w:lang w:val="en-US" w:eastAsia="zh-CN" w:bidi="ar-SA"/>
              </w:rPr>
              <w:t>5.食品加工产业链。</w:t>
            </w:r>
            <w:r>
              <w:rPr>
                <w:rFonts w:hint="default" w:ascii="Times New Roman" w:hAnsi="Times New Roman" w:eastAsia="仿宋_GB2312" w:cs="Times New Roman"/>
                <w:i w:val="0"/>
                <w:iCs w:val="0"/>
                <w:caps w:val="0"/>
                <w:color w:val="auto"/>
                <w:spacing w:val="0"/>
                <w:sz w:val="28"/>
                <w:szCs w:val="28"/>
                <w:highlight w:val="none"/>
                <w:u w:val="none" w:color="auto"/>
                <w:shd w:val="clear" w:fill="auto"/>
              </w:rPr>
              <w:t>聚焦粮油精深加工、预制菜、特色果蔬高值化利用、专业饲料等关键方向，推动产业向品牌化、营养化、标准化升级</w:t>
            </w:r>
            <w:r>
              <w:rPr>
                <w:rFonts w:hint="default" w:ascii="Times New Roman" w:hAnsi="Times New Roman" w:cs="Times New Roman"/>
                <w:i w:val="0"/>
                <w:iCs w:val="0"/>
                <w:caps w:val="0"/>
                <w:color w:val="auto"/>
                <w:spacing w:val="0"/>
                <w:sz w:val="28"/>
                <w:szCs w:val="28"/>
                <w:highlight w:val="none"/>
                <w:u w:val="none" w:color="auto"/>
                <w:shd w:val="clear"/>
                <w:lang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auto"/>
              </w:rPr>
              <w:t>强化科技研发与工艺创新，完善冷链物流与全程可追溯体系，培育区域公共品牌，促进“生产</w:t>
            </w:r>
            <w:r>
              <w:rPr>
                <w:rFonts w:hint="eastAsia" w:ascii="Times New Roman" w:hAnsi="Times New Roman" w:cs="Times New Roman"/>
                <w:i w:val="0"/>
                <w:iCs w:val="0"/>
                <w:caps w:val="0"/>
                <w:color w:val="auto"/>
                <w:spacing w:val="0"/>
                <w:sz w:val="28"/>
                <w:szCs w:val="28"/>
                <w:highlight w:val="none"/>
                <w:u w:val="none" w:color="auto"/>
                <w:shd w:val="clear" w:fill="auto"/>
                <w:lang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auto"/>
              </w:rPr>
              <w:t>加工</w:t>
            </w:r>
            <w:r>
              <w:rPr>
                <w:rFonts w:hint="eastAsia" w:ascii="Times New Roman" w:hAnsi="Times New Roman" w:cs="Times New Roman"/>
                <w:i w:val="0"/>
                <w:iCs w:val="0"/>
                <w:caps w:val="0"/>
                <w:color w:val="auto"/>
                <w:spacing w:val="0"/>
                <w:sz w:val="28"/>
                <w:szCs w:val="28"/>
                <w:highlight w:val="none"/>
                <w:u w:val="none" w:color="auto"/>
                <w:shd w:val="clear" w:fill="auto"/>
                <w:lang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auto"/>
              </w:rPr>
              <w:t>销售”全链条协同，持续释放产业集群发展效能。</w:t>
            </w:r>
          </w:p>
          <w:p w14:paraId="390BDC50">
            <w:pPr>
              <w:keepNext w:val="0"/>
              <w:keepLines w:val="0"/>
              <w:pageBreakBefore w:val="0"/>
              <w:widowControl w:val="0"/>
              <w:shd w:val="clear"/>
              <w:kinsoku/>
              <w:wordWrap/>
              <w:overflowPunct w:val="0"/>
              <w:topLinePunct w:val="0"/>
              <w:autoSpaceDE/>
              <w:autoSpaceDN/>
              <w:bidi w:val="0"/>
              <w:adjustRightInd/>
              <w:snapToGrid/>
              <w:spacing w:line="500" w:lineRule="exact"/>
              <w:ind w:firstLine="552" w:firstLineChars="200"/>
              <w:textAlignment w:val="auto"/>
              <w:rPr>
                <w:rFonts w:hint="default" w:ascii="Times New Roman" w:hAnsi="Times New Roman" w:eastAsia="仿宋_GB2312" w:cs="Times New Roman"/>
                <w:i w:val="0"/>
                <w:iCs w:val="0"/>
                <w:caps w:val="0"/>
                <w:color w:val="auto"/>
                <w:spacing w:val="0"/>
                <w:sz w:val="28"/>
                <w:szCs w:val="28"/>
                <w:highlight w:val="none"/>
                <w:u w:val="none" w:color="auto"/>
                <w:shd w:val="clear" w:fill="FFFFFF"/>
              </w:rPr>
            </w:pPr>
            <w:r>
              <w:rPr>
                <w:rFonts w:hint="default" w:ascii="Times New Roman" w:hAnsi="Times New Roman" w:eastAsia="楷体_GB2312" w:cs="Times New Roman"/>
                <w:b w:val="0"/>
                <w:bCs w:val="0"/>
                <w:color w:val="auto"/>
                <w:kern w:val="2"/>
                <w:sz w:val="28"/>
                <w:szCs w:val="28"/>
                <w:highlight w:val="none"/>
                <w:u w:val="none" w:color="auto"/>
                <w:shd w:val="clear" w:fill="FFFFFF"/>
                <w:lang w:val="en-US" w:eastAsia="zh-CN" w:bidi="ar-SA"/>
              </w:rPr>
              <w:t>6.商贸物流产业链。</w:t>
            </w:r>
            <w:r>
              <w:rPr>
                <w:rFonts w:hint="default" w:ascii="Times New Roman" w:hAnsi="Times New Roman" w:eastAsia="仿宋_GB2312" w:cs="Times New Roman"/>
                <w:b w:val="0"/>
                <w:bCs w:val="0"/>
                <w:color w:val="auto"/>
                <w:kern w:val="2"/>
                <w:sz w:val="28"/>
                <w:szCs w:val="28"/>
                <w:highlight w:val="none"/>
                <w:u w:val="none" w:color="auto"/>
                <w:shd w:val="clear" w:fill="FFFFFF"/>
                <w:lang w:val="en-US" w:eastAsia="zh-CN" w:bidi="ar-SA"/>
              </w:rPr>
              <w:t>依托万福河黄金水道、京九铁路干线和牡丹机场，合理布局港产融合临港产业园区，加快建设铁路物流园，释放牡丹机场国际航空物流枢纽口岸功能。支持仿山北部物流产业园建设，精准嵌入智慧仓储、供应链管理等现代化物流项目。围绕鲜切花、蔬菜、西瓜等特色产业，布局冷链设施与网络，打通从产地预冷到终端销售的闭环链条。健全</w:t>
            </w:r>
            <w:r>
              <w:rPr>
                <w:rFonts w:hint="eastAsia" w:ascii="Times New Roman" w:hAnsi="Times New Roman" w:cs="Times New Roman"/>
                <w:b w:val="0"/>
                <w:bCs w:val="0"/>
                <w:color w:val="auto"/>
                <w:kern w:val="2"/>
                <w:sz w:val="28"/>
                <w:szCs w:val="28"/>
                <w:highlight w:val="none"/>
                <w:u w:val="none" w:color="auto"/>
                <w:shd w:val="clear" w:fill="FFFFFF"/>
                <w:lang w:val="en-US" w:eastAsia="zh-CN" w:bidi="ar-SA"/>
              </w:rPr>
              <w:t>城乡</w:t>
            </w:r>
            <w:r>
              <w:rPr>
                <w:rFonts w:hint="default" w:ascii="Times New Roman" w:hAnsi="Times New Roman" w:eastAsia="仿宋_GB2312" w:cs="Times New Roman"/>
                <w:b w:val="0"/>
                <w:bCs w:val="0"/>
                <w:color w:val="auto"/>
                <w:kern w:val="2"/>
                <w:sz w:val="28"/>
                <w:szCs w:val="28"/>
                <w:highlight w:val="none"/>
                <w:u w:val="none" w:color="auto"/>
                <w:shd w:val="clear" w:fill="FFFFFF"/>
                <w:lang w:val="en-US" w:eastAsia="zh-CN" w:bidi="ar-SA"/>
              </w:rPr>
              <w:t>物流体系，提升城乡双向配送效率，为产业升级与区域发展提供有力支撑。</w:t>
            </w:r>
          </w:p>
        </w:tc>
      </w:tr>
    </w:tbl>
    <w:p w14:paraId="20C28042">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31" w:name="_Toc1786"/>
      <w:bookmarkStart w:id="32" w:name="_Toc20187"/>
      <w:bookmarkStart w:id="33" w:name="_Toc1827608469"/>
      <w:bookmarkStart w:id="34" w:name="_Toc10651"/>
      <w:bookmarkStart w:id="35" w:name="_Toc2258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加快发展现代服务业</w:t>
      </w:r>
      <w:bookmarkEnd w:id="31"/>
      <w:bookmarkEnd w:id="32"/>
      <w:bookmarkEnd w:id="33"/>
      <w:bookmarkEnd w:id="34"/>
    </w:p>
    <w:p w14:paraId="21A32F4B">
      <w:pPr>
        <w:shd w:val="clear"/>
        <w:spacing w:line="240" w:lineRule="auto"/>
        <w:ind w:firstLine="652" w:firstLineChars="200"/>
        <w:rPr>
          <w:rFonts w:hint="default" w:ascii="Times New Roman" w:hAnsi="Times New Roman" w:eastAsia="仿宋_GB2312" w:cs="Times New Roman"/>
          <w:strike w:val="0"/>
          <w:dstrike w:val="0"/>
          <w:color w:val="auto"/>
          <w:spacing w:val="5"/>
          <w:kern w:val="2"/>
          <w:sz w:val="32"/>
          <w:szCs w:val="32"/>
          <w:highlight w:val="none"/>
          <w:u w:val="none" w:color="auto"/>
          <w:lang w:val="en-US" w:eastAsia="zh-CN" w:bidi="ar-SA"/>
        </w:rPr>
      </w:pPr>
      <w:r>
        <w:rPr>
          <w:rFonts w:hint="default" w:ascii="Times New Roman" w:hAnsi="Times New Roman" w:eastAsia="仿宋_GB2312" w:cs="Times New Roman"/>
          <w:color w:val="auto"/>
          <w:spacing w:val="5"/>
          <w:kern w:val="2"/>
          <w:sz w:val="32"/>
          <w:szCs w:val="32"/>
          <w:highlight w:val="none"/>
          <w:u w:val="none" w:color="auto"/>
          <w:lang w:val="en-US" w:eastAsia="zh-CN" w:bidi="ar-SA"/>
        </w:rPr>
        <w:t>围绕制造业转型升级和居民消费需求升级，推动生产性服务业向专业化和</w:t>
      </w:r>
      <w:r>
        <w:rPr>
          <w:rFonts w:hint="eastAsia" w:ascii="Times New Roman" w:hAnsi="Times New Roman" w:cs="Times New Roman"/>
          <w:color w:val="auto"/>
          <w:spacing w:val="5"/>
          <w:kern w:val="2"/>
          <w:sz w:val="32"/>
          <w:szCs w:val="32"/>
          <w:highlight w:val="none"/>
          <w:u w:val="none" w:color="auto"/>
          <w:lang w:val="en-US" w:eastAsia="zh-CN" w:bidi="ar-SA"/>
        </w:rPr>
        <w:t>高端化</w:t>
      </w:r>
      <w:r>
        <w:rPr>
          <w:rFonts w:hint="default" w:ascii="Times New Roman" w:hAnsi="Times New Roman" w:eastAsia="仿宋_GB2312" w:cs="Times New Roman"/>
          <w:color w:val="auto"/>
          <w:spacing w:val="5"/>
          <w:kern w:val="2"/>
          <w:sz w:val="32"/>
          <w:szCs w:val="32"/>
          <w:highlight w:val="none"/>
          <w:u w:val="none" w:color="auto"/>
          <w:lang w:val="en-US" w:eastAsia="zh-CN" w:bidi="ar-SA"/>
        </w:rPr>
        <w:t>延伸，生活性服务业向精细化和高品质转变，</w:t>
      </w:r>
      <w:r>
        <w:rPr>
          <w:rFonts w:hint="default" w:ascii="Times New Roman" w:hAnsi="Times New Roman" w:eastAsia="仿宋_GB2312" w:cs="Times New Roman"/>
          <w:strike w:val="0"/>
          <w:dstrike w:val="0"/>
          <w:color w:val="auto"/>
          <w:spacing w:val="5"/>
          <w:kern w:val="2"/>
          <w:sz w:val="32"/>
          <w:szCs w:val="32"/>
          <w:highlight w:val="none"/>
          <w:u w:val="none" w:color="auto"/>
          <w:lang w:val="en-US" w:eastAsia="zh-CN" w:bidi="ar-SA"/>
        </w:rPr>
        <w:t>构建优质高效、结构优化、竞争力强的服务业新体系。</w:t>
      </w:r>
    </w:p>
    <w:p w14:paraId="78166C6B">
      <w:pPr>
        <w:shd w:val="clear"/>
        <w:spacing w:line="240" w:lineRule="auto"/>
        <w:ind w:firstLine="652" w:firstLineChars="200"/>
        <w:rPr>
          <w:rFonts w:hint="default" w:ascii="Times New Roman" w:hAnsi="Times New Roman" w:eastAsia="仿宋_GB2312" w:cs="Times New Roman"/>
          <w:color w:val="auto"/>
          <w:spacing w:val="5"/>
          <w:kern w:val="2"/>
          <w:sz w:val="32"/>
          <w:szCs w:val="32"/>
          <w:highlight w:val="none"/>
          <w:u w:val="none" w:color="auto"/>
          <w:lang w:val="en-US" w:eastAsia="zh-CN" w:bidi="ar-SA"/>
        </w:rPr>
      </w:pPr>
      <w:r>
        <w:rPr>
          <w:rFonts w:hint="default" w:ascii="Times New Roman" w:hAnsi="Times New Roman" w:eastAsia="仿宋_GB2312" w:cs="Times New Roman"/>
          <w:b/>
          <w:bCs/>
          <w:color w:val="auto"/>
          <w:spacing w:val="5"/>
          <w:kern w:val="2"/>
          <w:sz w:val="32"/>
          <w:szCs w:val="32"/>
          <w:highlight w:val="none"/>
          <w:u w:val="none" w:color="auto"/>
          <w:lang w:val="en-US" w:eastAsia="zh-CN" w:bidi="ar-SA"/>
        </w:rPr>
        <w:t>推动生产性服务业提质增效。</w:t>
      </w:r>
      <w:r>
        <w:rPr>
          <w:rFonts w:hint="default" w:ascii="Times New Roman" w:hAnsi="Times New Roman" w:eastAsia="仿宋_GB2312" w:cs="Times New Roman"/>
          <w:color w:val="auto"/>
          <w:spacing w:val="5"/>
          <w:kern w:val="2"/>
          <w:sz w:val="32"/>
          <w:szCs w:val="32"/>
          <w:highlight w:val="none"/>
          <w:u w:val="none" w:color="auto"/>
          <w:lang w:val="en-US" w:eastAsia="zh-CN" w:bidi="ar-SA"/>
        </w:rPr>
        <w:t>以服务实体经济为导向，重点发展现代物流、金融服务等生产性服务业</w:t>
      </w:r>
      <w:r>
        <w:rPr>
          <w:rFonts w:hint="eastAsia"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构建高效便捷的现代物流体系，依托定陶区位交通优势，规划建设区域性物流枢纽。加快现有物流园区智慧化改造，引进培育一批物流企业，发展供应链物流、智慧仓储、共同配送等新模式。推动物流业</w:t>
      </w:r>
      <w:r>
        <w:rPr>
          <w:rFonts w:hint="default" w:ascii="Times New Roman" w:hAnsi="Times New Roman" w:cs="Times New Roman"/>
          <w:color w:val="auto"/>
          <w:spacing w:val="5"/>
          <w:kern w:val="2"/>
          <w:sz w:val="32"/>
          <w:szCs w:val="32"/>
          <w:highlight w:val="none"/>
          <w:u w:val="none" w:color="auto"/>
          <w:lang w:val="en-US" w:eastAsia="zh-CN" w:bidi="ar-SA"/>
        </w:rPr>
        <w:t>和</w:t>
      </w:r>
      <w:r>
        <w:rPr>
          <w:rFonts w:hint="default" w:ascii="Times New Roman" w:hAnsi="Times New Roman" w:eastAsia="仿宋_GB2312" w:cs="Times New Roman"/>
          <w:color w:val="auto"/>
          <w:spacing w:val="5"/>
          <w:kern w:val="2"/>
          <w:sz w:val="32"/>
          <w:szCs w:val="32"/>
          <w:highlight w:val="none"/>
          <w:u w:val="none" w:color="auto"/>
          <w:lang w:val="en-US" w:eastAsia="zh-CN" w:bidi="ar-SA"/>
        </w:rPr>
        <w:t>制造业联动发展，建设医药智能存储平台等专业化物流设施，降低产业物流成本。提升科技服务支撑能力，围绕</w:t>
      </w:r>
      <w:r>
        <w:rPr>
          <w:rFonts w:hint="default" w:ascii="Times New Roman" w:hAnsi="Times New Roman" w:cs="Times New Roman"/>
          <w:color w:val="auto"/>
          <w:spacing w:val="5"/>
          <w:kern w:val="2"/>
          <w:sz w:val="32"/>
          <w:szCs w:val="32"/>
          <w:highlight w:val="none"/>
          <w:u w:val="none" w:color="auto"/>
          <w:lang w:val="en-US" w:eastAsia="zh-CN" w:bidi="ar-SA"/>
        </w:rPr>
        <w:t>现代医药</w:t>
      </w:r>
      <w:r>
        <w:rPr>
          <w:rFonts w:hint="default" w:ascii="Times New Roman" w:hAnsi="Times New Roman" w:eastAsia="仿宋_GB2312" w:cs="Times New Roman"/>
          <w:color w:val="auto"/>
          <w:spacing w:val="5"/>
          <w:kern w:val="2"/>
          <w:sz w:val="32"/>
          <w:szCs w:val="32"/>
          <w:highlight w:val="none"/>
          <w:u w:val="none" w:color="auto"/>
          <w:lang w:val="en-US" w:eastAsia="zh-CN" w:bidi="ar-SA"/>
        </w:rPr>
        <w:t>、新材料等产业创新需求，大力发展研发设计、技术转移、创业孵化、检验检测认证等科技服务业。发挥知识产权服务作用，加强知识产权创造、运用和保护。强化金融服务实体经济功能，积极引进各类金融机构分支机构，鼓励发展科技金融、绿色金融、供应链金融。创新发展各类投资基金，引导社会资本支持主导产业发展和科技创新，搭建银企对接平台，缓解中小企业融资难、融资贵。</w:t>
      </w:r>
    </w:p>
    <w:p w14:paraId="61250A1E">
      <w:pPr>
        <w:shd w:val="clear"/>
        <w:spacing w:line="240" w:lineRule="auto"/>
        <w:ind w:firstLine="652" w:firstLineChars="200"/>
        <w:rPr>
          <w:rFonts w:hint="default" w:ascii="Times New Roman" w:hAnsi="Times New Roman" w:eastAsia="仿宋_GB2312" w:cs="Times New Roman"/>
          <w:color w:val="auto"/>
          <w:spacing w:val="5"/>
          <w:kern w:val="2"/>
          <w:sz w:val="32"/>
          <w:szCs w:val="32"/>
          <w:highlight w:val="none"/>
          <w:u w:val="none" w:color="auto"/>
          <w:lang w:val="en-US" w:eastAsia="zh-CN" w:bidi="ar-SA"/>
        </w:rPr>
      </w:pPr>
      <w:r>
        <w:rPr>
          <w:rFonts w:hint="default" w:ascii="Times New Roman" w:hAnsi="Times New Roman" w:eastAsia="仿宋_GB2312" w:cs="Times New Roman"/>
          <w:b/>
          <w:bCs/>
          <w:color w:val="auto"/>
          <w:spacing w:val="5"/>
          <w:kern w:val="2"/>
          <w:sz w:val="32"/>
          <w:szCs w:val="32"/>
          <w:highlight w:val="none"/>
          <w:u w:val="none" w:color="auto"/>
          <w:lang w:val="en-US" w:eastAsia="zh-CN" w:bidi="ar-SA"/>
        </w:rPr>
        <w:t>促进生活性服务业扩容提质。</w:t>
      </w:r>
      <w:r>
        <w:rPr>
          <w:rFonts w:hint="default" w:ascii="Times New Roman" w:hAnsi="Times New Roman" w:eastAsia="仿宋_GB2312" w:cs="Times New Roman"/>
          <w:color w:val="auto"/>
          <w:spacing w:val="5"/>
          <w:kern w:val="2"/>
          <w:sz w:val="32"/>
          <w:szCs w:val="32"/>
          <w:highlight w:val="none"/>
          <w:u w:val="none" w:color="auto"/>
          <w:lang w:val="en-US" w:eastAsia="zh-CN" w:bidi="ar-SA"/>
        </w:rPr>
        <w:t>顺应消费升级趋势，丰富服务供给，提升服务品质，更好满足人民群众多样化、个性化需求。推动商贸服务业转型升级</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优化商业网点布局，打造特色商业街区和夜间经济集聚区。鼓励发展智慧商圈、新零售、直播电商，</w:t>
      </w:r>
      <w:r>
        <w:rPr>
          <w:rFonts w:hint="default" w:ascii="Times New Roman" w:hAnsi="Times New Roman" w:cs="Times New Roman"/>
          <w:color w:val="auto"/>
          <w:spacing w:val="5"/>
          <w:kern w:val="2"/>
          <w:sz w:val="32"/>
          <w:szCs w:val="32"/>
          <w:highlight w:val="none"/>
          <w:u w:val="none" w:color="auto"/>
          <w:lang w:val="en-US" w:eastAsia="zh-CN" w:bidi="ar-SA"/>
        </w:rPr>
        <w:t>推动</w:t>
      </w:r>
      <w:r>
        <w:rPr>
          <w:rFonts w:hint="default" w:ascii="Times New Roman" w:hAnsi="Times New Roman" w:eastAsia="仿宋_GB2312" w:cs="Times New Roman"/>
          <w:color w:val="auto"/>
          <w:spacing w:val="5"/>
          <w:kern w:val="2"/>
          <w:sz w:val="32"/>
          <w:szCs w:val="32"/>
          <w:highlight w:val="none"/>
          <w:u w:val="none" w:color="auto"/>
          <w:lang w:val="en-US" w:eastAsia="zh-CN" w:bidi="ar-SA"/>
        </w:rPr>
        <w:t>本地电商平台</w:t>
      </w:r>
      <w:r>
        <w:rPr>
          <w:rFonts w:hint="default" w:ascii="Times New Roman" w:hAnsi="Times New Roman" w:cs="Times New Roman"/>
          <w:color w:val="auto"/>
          <w:spacing w:val="5"/>
          <w:kern w:val="2"/>
          <w:sz w:val="32"/>
          <w:szCs w:val="32"/>
          <w:highlight w:val="none"/>
          <w:u w:val="none" w:color="auto"/>
          <w:lang w:val="en-US" w:eastAsia="zh-CN" w:bidi="ar-SA"/>
        </w:rPr>
        <w:t>和</w:t>
      </w:r>
      <w:r>
        <w:rPr>
          <w:rFonts w:hint="default" w:ascii="Times New Roman" w:hAnsi="Times New Roman" w:eastAsia="仿宋_GB2312" w:cs="Times New Roman"/>
          <w:color w:val="auto"/>
          <w:spacing w:val="5"/>
          <w:kern w:val="2"/>
          <w:sz w:val="32"/>
          <w:szCs w:val="32"/>
          <w:highlight w:val="none"/>
          <w:u w:val="none" w:color="auto"/>
          <w:lang w:val="en-US" w:eastAsia="zh-CN" w:bidi="ar-SA"/>
        </w:rPr>
        <w:t>头部直播机构深度合作。</w:t>
      </w:r>
      <w:r>
        <w:rPr>
          <w:rFonts w:hint="default" w:ascii="Times New Roman" w:hAnsi="Times New Roman" w:cs="Times New Roman"/>
          <w:color w:val="auto"/>
          <w:spacing w:val="5"/>
          <w:kern w:val="2"/>
          <w:sz w:val="32"/>
          <w:szCs w:val="32"/>
          <w:highlight w:val="none"/>
          <w:u w:val="none" w:color="auto"/>
          <w:lang w:val="en-US" w:eastAsia="zh-CN" w:bidi="ar-SA"/>
        </w:rPr>
        <w:t>积极引入汽车赛事、主题音乐节等多元活动，以特色内容吸引民间资本参与，完善</w:t>
      </w:r>
      <w:r>
        <w:rPr>
          <w:rFonts w:hint="eastAsia" w:ascii="Times New Roman" w:hAnsi="Times New Roman" w:cs="Times New Roman"/>
          <w:color w:val="auto"/>
          <w:spacing w:val="5"/>
          <w:kern w:val="2"/>
          <w:sz w:val="32"/>
          <w:szCs w:val="32"/>
          <w:highlight w:val="none"/>
          <w:u w:val="none" w:color="auto"/>
          <w:lang w:val="en-US" w:eastAsia="zh-CN" w:bidi="ar-SA"/>
        </w:rPr>
        <w:t>汽车</w:t>
      </w:r>
      <w:r>
        <w:rPr>
          <w:rFonts w:hint="default" w:ascii="Times New Roman" w:hAnsi="Times New Roman" w:cs="Times New Roman"/>
          <w:color w:val="auto"/>
          <w:spacing w:val="5"/>
          <w:kern w:val="2"/>
          <w:sz w:val="32"/>
          <w:szCs w:val="32"/>
          <w:highlight w:val="none"/>
          <w:u w:val="none" w:color="auto"/>
          <w:lang w:val="en-US" w:eastAsia="zh-CN" w:bidi="ar-SA"/>
        </w:rPr>
        <w:t>小镇商业、休闲及体验配套。</w:t>
      </w:r>
      <w:r>
        <w:rPr>
          <w:rFonts w:hint="default" w:ascii="Times New Roman" w:hAnsi="Times New Roman" w:eastAsia="仿宋_GB2312" w:cs="Times New Roman"/>
          <w:color w:val="auto"/>
          <w:spacing w:val="5"/>
          <w:kern w:val="2"/>
          <w:sz w:val="32"/>
          <w:szCs w:val="32"/>
          <w:highlight w:val="none"/>
          <w:u w:val="none" w:color="auto"/>
          <w:lang w:val="en-US" w:eastAsia="zh-CN" w:bidi="ar-SA"/>
        </w:rPr>
        <w:t>整合“</w:t>
      </w:r>
      <w:r>
        <w:rPr>
          <w:rFonts w:hint="eastAsia" w:ascii="Times New Roman" w:hAnsi="Times New Roman" w:cs="Times New Roman"/>
          <w:color w:val="auto"/>
          <w:spacing w:val="5"/>
          <w:kern w:val="2"/>
          <w:sz w:val="32"/>
          <w:szCs w:val="32"/>
          <w:highlight w:val="none"/>
          <w:u w:val="none" w:color="auto"/>
          <w:lang w:val="en-US" w:eastAsia="zh-CN" w:bidi="ar-SA"/>
        </w:rPr>
        <w:t>黄店</w:t>
      </w:r>
      <w:r>
        <w:rPr>
          <w:rFonts w:hint="default" w:ascii="Times New Roman" w:hAnsi="Times New Roman" w:eastAsia="仿宋_GB2312" w:cs="Times New Roman"/>
          <w:color w:val="auto"/>
          <w:spacing w:val="5"/>
          <w:kern w:val="2"/>
          <w:sz w:val="32"/>
          <w:szCs w:val="32"/>
          <w:highlight w:val="none"/>
          <w:u w:val="none" w:color="auto"/>
          <w:lang w:val="en-US" w:eastAsia="zh-CN" w:bidi="ar-SA"/>
        </w:rPr>
        <w:t>玫瑰”“南王店西瓜”等特色资源，推出老字号创新产品及文创IP，打造“惠享定陶”区域消费品牌</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鼓励社会力量兴办普惠托育服务机构，发展社区养老和居家养老服务。积极发展康养服务业</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依托现有医疗资源，推动医养结合，发展健康管理、康复护理、智慧养老等服务业态。培育壮大文旅产业</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深度挖掘定陶历史文化资源，推动文旅融合发展</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开发工业旅游、研学旅游等新业态，打造特色旅游线路和产品。完善旅游配套设施，提升接待服务能力，营造宜居宜游的良好环境。</w:t>
      </w:r>
      <w:r>
        <w:rPr>
          <w:rFonts w:hint="default" w:ascii="Times New Roman" w:hAnsi="Times New Roman" w:cs="Times New Roman"/>
          <w:color w:val="auto"/>
          <w:spacing w:val="5"/>
          <w:kern w:val="2"/>
          <w:sz w:val="32"/>
          <w:szCs w:val="32"/>
          <w:highlight w:val="none"/>
          <w:u w:val="none" w:color="auto"/>
          <w:lang w:val="en-US" w:eastAsia="zh-CN" w:bidi="ar-SA"/>
        </w:rPr>
        <w:t>持续推动</w:t>
      </w:r>
      <w:r>
        <w:rPr>
          <w:rFonts w:hint="default" w:ascii="Times New Roman" w:hAnsi="Times New Roman" w:eastAsia="仿宋_GB2312" w:cs="Times New Roman"/>
          <w:color w:val="auto"/>
          <w:spacing w:val="5"/>
          <w:kern w:val="2"/>
          <w:sz w:val="32"/>
          <w:szCs w:val="32"/>
          <w:highlight w:val="none"/>
          <w:u w:val="none" w:color="auto"/>
          <w:lang w:val="en-US" w:eastAsia="zh-CN" w:bidi="ar-SA"/>
        </w:rPr>
        <w:t>区域产业带</w:t>
      </w:r>
      <w:r>
        <w:rPr>
          <w:rFonts w:hint="eastAsia"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数字化服务平台建设，畅通特色农产品上行渠道，推动农村电商提质升级。</w:t>
      </w:r>
    </w:p>
    <w:p w14:paraId="527DC716">
      <w:pPr>
        <w:shd w:val="clear"/>
        <w:spacing w:line="240" w:lineRule="auto"/>
        <w:ind w:firstLine="652" w:firstLineChars="200"/>
        <w:rPr>
          <w:rFonts w:hint="default" w:ascii="Times New Roman" w:hAnsi="Times New Roman" w:eastAsia="仿宋_GB2312" w:cs="Times New Roman"/>
          <w:color w:val="auto"/>
          <w:spacing w:val="5"/>
          <w:kern w:val="2"/>
          <w:sz w:val="32"/>
          <w:szCs w:val="32"/>
          <w:highlight w:val="none"/>
          <w:u w:val="none" w:color="auto"/>
          <w:lang w:val="en-US" w:eastAsia="zh-CN" w:bidi="ar-SA"/>
        </w:rPr>
      </w:pPr>
      <w:r>
        <w:rPr>
          <w:rFonts w:hint="default" w:ascii="Times New Roman" w:hAnsi="Times New Roman" w:eastAsia="仿宋_GB2312" w:cs="Times New Roman"/>
          <w:b/>
          <w:bCs/>
          <w:color w:val="auto"/>
          <w:spacing w:val="5"/>
          <w:kern w:val="2"/>
          <w:sz w:val="32"/>
          <w:szCs w:val="32"/>
          <w:highlight w:val="none"/>
          <w:u w:val="none" w:color="auto"/>
          <w:lang w:val="en-US" w:eastAsia="zh-CN" w:bidi="ar-SA"/>
        </w:rPr>
        <w:t>深化先进制造业和现代服务业融合。</w:t>
      </w:r>
      <w:r>
        <w:rPr>
          <w:rFonts w:hint="default" w:ascii="Times New Roman" w:hAnsi="Times New Roman" w:eastAsia="仿宋_GB2312" w:cs="Times New Roman"/>
          <w:color w:val="auto"/>
          <w:spacing w:val="5"/>
          <w:kern w:val="2"/>
          <w:sz w:val="32"/>
          <w:szCs w:val="32"/>
          <w:highlight w:val="none"/>
          <w:u w:val="none" w:color="auto"/>
          <w:lang w:val="en-US" w:eastAsia="zh-CN" w:bidi="ar-SA"/>
        </w:rPr>
        <w:t>把握产业融合发展趋势，推动制造业企业向“产品</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服务”转型，培育融合发展新业态新模式。引导</w:t>
      </w:r>
      <w:r>
        <w:rPr>
          <w:rFonts w:hint="default" w:ascii="Times New Roman" w:hAnsi="Times New Roman" w:cs="Times New Roman"/>
          <w:color w:val="auto"/>
          <w:spacing w:val="5"/>
          <w:kern w:val="2"/>
          <w:sz w:val="32"/>
          <w:szCs w:val="32"/>
          <w:highlight w:val="none"/>
          <w:u w:val="none" w:color="auto"/>
          <w:lang w:val="en-US" w:eastAsia="zh-CN" w:bidi="ar-SA"/>
        </w:rPr>
        <w:t>现代医药</w:t>
      </w:r>
      <w:r>
        <w:rPr>
          <w:rFonts w:hint="default" w:ascii="Times New Roman" w:hAnsi="Times New Roman" w:eastAsia="仿宋_GB2312" w:cs="Times New Roman"/>
          <w:color w:val="auto"/>
          <w:spacing w:val="5"/>
          <w:kern w:val="2"/>
          <w:sz w:val="32"/>
          <w:szCs w:val="32"/>
          <w:highlight w:val="none"/>
          <w:u w:val="none" w:color="auto"/>
          <w:lang w:val="en-US" w:eastAsia="zh-CN" w:bidi="ar-SA"/>
        </w:rPr>
        <w:t>、新材料、高端装备等领域的企业，由提供产品向提供“产品</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服务”整体解决方案转型。支持企业开展总集成总承包、全生命周期管理、供应链管理等服务，拓展价值空间。培育一批服务型制造企业和平台，形成“智能制造</w:t>
      </w:r>
      <w:r>
        <w:rPr>
          <w:rFonts w:hint="default" w:ascii="Times New Roman" w:hAnsi="Times New Roman" w:cs="Times New Roman"/>
          <w:color w:val="auto"/>
          <w:spacing w:val="5"/>
          <w:kern w:val="2"/>
          <w:sz w:val="32"/>
          <w:szCs w:val="32"/>
          <w:highlight w:val="none"/>
          <w:u w:val="none" w:color="auto"/>
          <w:lang w:val="en-US" w:eastAsia="zh-CN" w:bidi="ar-SA"/>
        </w:rPr>
        <w:t>＋</w:t>
      </w:r>
      <w:r>
        <w:rPr>
          <w:rFonts w:hint="default" w:ascii="Times New Roman" w:hAnsi="Times New Roman" w:eastAsia="仿宋_GB2312" w:cs="Times New Roman"/>
          <w:color w:val="auto"/>
          <w:spacing w:val="5"/>
          <w:kern w:val="2"/>
          <w:sz w:val="32"/>
          <w:szCs w:val="32"/>
          <w:highlight w:val="none"/>
          <w:u w:val="none" w:color="auto"/>
          <w:lang w:val="en-US" w:eastAsia="zh-CN" w:bidi="ar-SA"/>
        </w:rPr>
        <w:t>增值服务”的融合发展模式。</w:t>
      </w:r>
    </w:p>
    <w:p w14:paraId="703046F8">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专栏3 推动重点服务业提质升级</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F2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0" w:hRule="atLeast"/>
        </w:trPr>
        <w:tc>
          <w:tcPr>
            <w:tcW w:w="9060" w:type="dxa"/>
            <w:vAlign w:val="center"/>
          </w:tcPr>
          <w:p w14:paraId="09B6FCB9">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500" w:lineRule="exact"/>
              <w:ind w:right="0" w:firstLine="552" w:firstLineChars="200"/>
              <w:jc w:val="both"/>
              <w:textAlignment w:val="auto"/>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pPr>
            <w:r>
              <w:rPr>
                <w:rFonts w:hint="eastAsia" w:ascii="仿宋_GB2312" w:hAnsi="仿宋_GB2312" w:eastAsia="仿宋_GB2312" w:cs="仿宋_GB2312"/>
                <w:b/>
                <w:bCs/>
                <w:color w:val="auto"/>
                <w:spacing w:val="0"/>
                <w:kern w:val="2"/>
                <w:sz w:val="28"/>
                <w:szCs w:val="28"/>
                <w:highlight w:val="none"/>
                <w:u w:val="none" w:color="auto"/>
                <w:shd w:val="clear" w:fill="FFFFFF"/>
                <w:lang w:val="en-US" w:eastAsia="zh-CN" w:bidi="ar-SA"/>
              </w:rPr>
              <w:t>1.汽车服务业。</w:t>
            </w:r>
            <w:r>
              <w:rPr>
                <w:rFonts w:hint="default" w:ascii="Times New Roman" w:hAnsi="Times New Roman" w:cs="Times New Roman"/>
                <w:b w:val="0"/>
                <w:bCs w:val="0"/>
                <w:color w:val="auto"/>
                <w:spacing w:val="0"/>
                <w:kern w:val="2"/>
                <w:sz w:val="28"/>
                <w:szCs w:val="28"/>
                <w:highlight w:val="none"/>
                <w:u w:val="none" w:color="auto"/>
                <w:lang w:val="en-US" w:eastAsia="zh-CN" w:bidi="ar-SA"/>
              </w:rPr>
              <w:t>构建</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覆盖汽车销售、拆解及电池回收等环节的全链条服务</w:t>
            </w:r>
            <w:r>
              <w:rPr>
                <w:rFonts w:hint="default" w:ascii="Times New Roman" w:hAnsi="Times New Roman" w:cs="Times New Roman"/>
                <w:b w:val="0"/>
                <w:bCs w:val="0"/>
                <w:color w:val="auto"/>
                <w:spacing w:val="0"/>
                <w:kern w:val="2"/>
                <w:sz w:val="28"/>
                <w:szCs w:val="28"/>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通过深耕汽车产业链条下游环节，推进汽车拆解回收利用业务，完善废旧汽车零部件分类、电池回收，提升资源循环利用效率。大力发展赛事经济，通过举办大型汽车、摩托车赛事，推动产业形态从“单一销售”向“销售</w:t>
            </w:r>
            <w:r>
              <w:rPr>
                <w:rFonts w:hint="default" w:ascii="Times New Roman" w:hAnsi="Times New Roman" w:cs="Times New Roman"/>
                <w:b w:val="0"/>
                <w:bCs w:val="0"/>
                <w:color w:val="auto"/>
                <w:spacing w:val="0"/>
                <w:kern w:val="2"/>
                <w:sz w:val="28"/>
                <w:szCs w:val="28"/>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休闲</w:t>
            </w:r>
            <w:r>
              <w:rPr>
                <w:rFonts w:hint="default" w:ascii="Times New Roman" w:hAnsi="Times New Roman" w:cs="Times New Roman"/>
                <w:b w:val="0"/>
                <w:bCs w:val="0"/>
                <w:color w:val="auto"/>
                <w:spacing w:val="0"/>
                <w:kern w:val="2"/>
                <w:sz w:val="28"/>
                <w:szCs w:val="28"/>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娱乐”多元业态转型，打造具有影响力的汽车文化消费新场景。</w:t>
            </w:r>
          </w:p>
          <w:p w14:paraId="2E2D7A97">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Autospacing="0" w:line="500" w:lineRule="exact"/>
              <w:ind w:firstLineChars="200"/>
              <w:jc w:val="both"/>
              <w:textAlignment w:val="auto"/>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pPr>
            <w:r>
              <w:rPr>
                <w:rFonts w:hint="eastAsia" w:ascii="仿宋_GB2312" w:hAnsi="仿宋_GB2312" w:eastAsia="仿宋_GB2312" w:cs="仿宋_GB2312"/>
                <w:b/>
                <w:bCs/>
                <w:color w:val="auto"/>
                <w:spacing w:val="0"/>
                <w:kern w:val="2"/>
                <w:sz w:val="28"/>
                <w:szCs w:val="28"/>
                <w:highlight w:val="none"/>
                <w:u w:val="none" w:color="auto"/>
                <w:shd w:val="clear" w:fill="FFFFFF"/>
                <w:lang w:val="en-US" w:eastAsia="zh-CN" w:bidi="ar-SA"/>
              </w:rPr>
              <w:t>2.新型物流仓储。</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大力发展多式联运与智慧仓储，完善铁路、公路、水路</w:t>
            </w:r>
            <w:r>
              <w:rPr>
                <w:rFonts w:hint="eastAsia" w:ascii="Times New Roman" w:hAnsi="Times New Roman" w:cs="Times New Roman"/>
                <w:b w:val="0"/>
                <w:bCs w:val="0"/>
                <w:color w:val="auto"/>
                <w:spacing w:val="0"/>
                <w:kern w:val="2"/>
                <w:sz w:val="28"/>
                <w:szCs w:val="28"/>
                <w:highlight w:val="none"/>
                <w:u w:val="none" w:color="auto"/>
                <w:lang w:val="en-US" w:eastAsia="zh-CN" w:bidi="ar-SA"/>
              </w:rPr>
              <w:t>、航空</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立体衔接设施，推动物流仓储向智慧化、绿色化、一体化方向发展。支持高标准智慧仓储园区规划建设，衔接本地木制品、食品加工等产业，布局大宗商品仓储等专业物流设施，推广应用自动化立体仓库、智能分拣系统，提升转运效率与仓储管理水平。</w:t>
            </w:r>
          </w:p>
          <w:p w14:paraId="696D262F">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Autospacing="0" w:line="500" w:lineRule="exact"/>
              <w:ind w:firstLineChars="200"/>
              <w:jc w:val="both"/>
              <w:textAlignment w:val="auto"/>
              <w:rPr>
                <w:rFonts w:hint="default" w:ascii="Times New Roman" w:hAnsi="Times New Roman" w:eastAsia="仿宋_GB2312" w:cs="Times New Roman"/>
                <w:color w:val="auto"/>
                <w:spacing w:val="5"/>
                <w:kern w:val="2"/>
                <w:sz w:val="28"/>
                <w:szCs w:val="28"/>
                <w:highlight w:val="none"/>
                <w:u w:val="none" w:color="auto"/>
                <w:vertAlign w:val="baseline"/>
                <w:lang w:val="en-US" w:eastAsia="zh-CN" w:bidi="ar-SA"/>
              </w:rPr>
            </w:pPr>
            <w:r>
              <w:rPr>
                <w:rFonts w:hint="eastAsia" w:ascii="仿宋_GB2312" w:hAnsi="仿宋_GB2312" w:eastAsia="仿宋_GB2312" w:cs="仿宋_GB2312"/>
                <w:b/>
                <w:bCs/>
                <w:color w:val="auto"/>
                <w:spacing w:val="0"/>
                <w:kern w:val="2"/>
                <w:sz w:val="28"/>
                <w:szCs w:val="28"/>
                <w:highlight w:val="none"/>
                <w:u w:val="none" w:color="auto"/>
                <w:shd w:val="clear" w:fill="FFFFFF"/>
                <w:lang w:val="en-US" w:eastAsia="zh-CN" w:bidi="ar-SA"/>
              </w:rPr>
              <w:t>3.休闲康养旅游。</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打造特色品牌，以生态田园、健康养生、文化体验为核心，整合南王店西瓜种植基地</w:t>
            </w:r>
            <w:r>
              <w:rPr>
                <w:rFonts w:hint="default" w:ascii="Times New Roman" w:hAnsi="Times New Roman" w:cs="Times New Roman"/>
                <w:b w:val="0"/>
                <w:bCs w:val="0"/>
                <w:color w:val="auto"/>
                <w:spacing w:val="0"/>
                <w:kern w:val="2"/>
                <w:sz w:val="28"/>
                <w:szCs w:val="28"/>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黄店万亩玫瑰园、西施牡丹园等农业资源</w:t>
            </w:r>
            <w:r>
              <w:rPr>
                <w:rFonts w:hint="default" w:ascii="Times New Roman" w:hAnsi="Times New Roman" w:cs="Times New Roman"/>
                <w:b w:val="0"/>
                <w:bCs w:val="0"/>
                <w:color w:val="auto"/>
                <w:spacing w:val="0"/>
                <w:kern w:val="2"/>
                <w:sz w:val="28"/>
                <w:szCs w:val="28"/>
                <w:highlight w:val="none"/>
                <w:u w:val="none" w:color="auto"/>
                <w:lang w:val="en-US" w:eastAsia="zh-CN" w:bidi="ar-SA"/>
              </w:rPr>
              <w:t>，官堌堆遗址、十里铺北堌堆遗址、戚姬寺遗址、定陶王墓地（王陵）</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等</w:t>
            </w:r>
            <w:r>
              <w:rPr>
                <w:rFonts w:hint="default" w:ascii="Times New Roman" w:hAnsi="Times New Roman" w:cs="Times New Roman"/>
                <w:b w:val="0"/>
                <w:bCs w:val="0"/>
                <w:color w:val="auto"/>
                <w:spacing w:val="0"/>
                <w:kern w:val="2"/>
                <w:sz w:val="28"/>
                <w:szCs w:val="28"/>
                <w:highlight w:val="none"/>
                <w:u w:val="none" w:color="auto"/>
                <w:lang w:val="en-US" w:eastAsia="zh-CN" w:bidi="ar-SA"/>
              </w:rPr>
              <w:t>文化遗址</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资源，推出精品旅游线路与康养度假产品。促进“旅游</w:t>
            </w:r>
            <w:r>
              <w:rPr>
                <w:rFonts w:hint="default" w:ascii="Times New Roman" w:hAnsi="Times New Roman" w:cs="Times New Roman"/>
                <w:b w:val="0"/>
                <w:bCs w:val="0"/>
                <w:color w:val="auto"/>
                <w:spacing w:val="0"/>
                <w:kern w:val="2"/>
                <w:sz w:val="28"/>
                <w:szCs w:val="28"/>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”产业深度融合，推动旅游与农业、养生、研学等业态结合，延长消费链条。</w:t>
            </w:r>
          </w:p>
        </w:tc>
      </w:tr>
      <w:bookmarkEnd w:id="35"/>
    </w:tbl>
    <w:p w14:paraId="26E68887">
      <w:pPr>
        <w:jc w:val="center"/>
        <w:rPr>
          <w:rStyle w:val="19"/>
          <w:rFonts w:hint="default" w:ascii="Times New Roman" w:hAnsi="Times New Roman" w:eastAsia="楷体_GB2312" w:cs="Times New Roman"/>
          <w:b w:val="0"/>
          <w:bCs w:val="0"/>
          <w:i w:val="0"/>
          <w:iCs w:val="0"/>
          <w:caps w:val="0"/>
          <w:smallCaps w:val="0"/>
          <w:color w:val="auto"/>
          <w:spacing w:val="0"/>
          <w:sz w:val="32"/>
          <w:szCs w:val="32"/>
          <w:highlight w:val="none"/>
          <w:u w:val="none" w:color="auto"/>
          <w:shd w:val="clear" w:color="auto" w:fill="FFFFFF"/>
          <w:lang w:val="en-US" w:eastAsia="zh-CN"/>
        </w:rPr>
      </w:pPr>
      <w:bookmarkStart w:id="36" w:name="_Toc20859"/>
      <w:bookmarkStart w:id="37" w:name="_Toc17810"/>
      <w:bookmarkStart w:id="38" w:name="_Toc21379"/>
      <w:bookmarkStart w:id="39" w:name="_Toc2009948295"/>
      <w:bookmarkStart w:id="40" w:name="_Toc21004"/>
      <w:r>
        <w:rPr>
          <w:rStyle w:val="19"/>
          <w:rFonts w:hint="default" w:ascii="Times New Roman" w:hAnsi="Times New Roman" w:eastAsia="楷体_GB2312" w:cs="Times New Roman"/>
          <w:b w:val="0"/>
          <w:bCs w:val="0"/>
          <w:i w:val="0"/>
          <w:iCs w:val="0"/>
          <w:caps w:val="0"/>
          <w:smallCaps w:val="0"/>
          <w:color w:val="auto"/>
          <w:spacing w:val="0"/>
          <w:sz w:val="32"/>
          <w:szCs w:val="32"/>
          <w:highlight w:val="none"/>
          <w:u w:val="none" w:color="auto"/>
          <w:shd w:val="clear" w:color="auto" w:fill="FFFFFF"/>
          <w:lang w:val="en-US" w:eastAsia="zh-CN"/>
        </w:rPr>
        <w:t>第四节 积极发展数字经济</w:t>
      </w:r>
      <w:bookmarkEnd w:id="36"/>
      <w:bookmarkEnd w:id="37"/>
      <w:bookmarkEnd w:id="38"/>
      <w:bookmarkEnd w:id="39"/>
    </w:p>
    <w:p w14:paraId="246E138D">
      <w:pPr>
        <w:shd w:val="clear"/>
        <w:spacing w:line="240" w:lineRule="auto"/>
        <w:ind w:firstLine="632" w:firstLineChars="200"/>
        <w:rPr>
          <w:rFonts w:hint="default" w:ascii="Times New Roman" w:hAnsi="Times New Roman" w:eastAsia="仿宋_GB2312" w:cs="Times New Roman"/>
          <w:b/>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color w:val="auto"/>
          <w:spacing w:val="0"/>
          <w:kern w:val="2"/>
          <w:sz w:val="32"/>
          <w:szCs w:val="32"/>
          <w:highlight w:val="none"/>
          <w:u w:val="none" w:color="auto"/>
          <w:lang w:val="en-US" w:eastAsia="zh-CN" w:bidi="ar-SA"/>
        </w:rPr>
        <w:t>牢牢把握数智化发展方向，推动数字经济与实体经济深度融合，赋能产业转型升级，塑造区域竞争新优势。</w:t>
      </w:r>
    </w:p>
    <w:p w14:paraId="2C2F3663">
      <w:pPr>
        <w:shd w:val="clear"/>
        <w:spacing w:line="240" w:lineRule="auto"/>
        <w:ind w:firstLine="632"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r>
        <w:rPr>
          <w:rFonts w:hint="default" w:ascii="Times New Roman" w:hAnsi="Times New Roman" w:cs="Times New Roman"/>
          <w:b/>
          <w:bCs/>
          <w:color w:val="auto"/>
          <w:spacing w:val="0"/>
          <w:kern w:val="2"/>
          <w:sz w:val="32"/>
          <w:szCs w:val="32"/>
          <w:highlight w:val="none"/>
          <w:u w:val="none" w:color="auto"/>
          <w:lang w:val="en-US" w:eastAsia="zh-CN" w:bidi="ar-SA"/>
        </w:rPr>
        <w:t>推动数字赋能</w:t>
      </w: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产业</w:t>
      </w:r>
      <w:r>
        <w:rPr>
          <w:rFonts w:hint="default" w:ascii="Times New Roman" w:hAnsi="Times New Roman" w:cs="Times New Roman"/>
          <w:b/>
          <w:bCs/>
          <w:color w:val="auto"/>
          <w:spacing w:val="0"/>
          <w:kern w:val="2"/>
          <w:sz w:val="32"/>
          <w:szCs w:val="32"/>
          <w:highlight w:val="none"/>
          <w:u w:val="none" w:color="auto"/>
          <w:lang w:val="en-US" w:eastAsia="zh-CN" w:bidi="ar-SA"/>
        </w:rPr>
        <w:t>发展</w:t>
      </w: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鼓励数字技术企业面向重点行业产业链，联合开发具有行业特性的系统解决方案与工业软件，加速制造业企业“数实融合”进程。实施应用场景拓展计划，在智慧农业、智慧文旅、智慧物流、智慧能源等领域</w:t>
      </w:r>
      <w:r>
        <w:rPr>
          <w:rFonts w:hint="default" w:ascii="Times New Roman" w:hAnsi="Times New Roman" w:cs="Times New Roman"/>
          <w:color w:val="auto"/>
          <w:highlight w:val="none"/>
          <w:lang w:val="en-US" w:eastAsia="zh-CN"/>
        </w:rPr>
        <w:t>打造</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一批</w:t>
      </w:r>
      <w:r>
        <w:rPr>
          <w:rFonts w:hint="default" w:ascii="Times New Roman" w:hAnsi="Times New Roman" w:cs="Times New Roman"/>
          <w:b w:val="0"/>
          <w:bCs w:val="0"/>
          <w:color w:val="auto"/>
          <w:spacing w:val="0"/>
          <w:kern w:val="2"/>
          <w:sz w:val="32"/>
          <w:szCs w:val="32"/>
          <w:highlight w:val="none"/>
          <w:u w:val="none" w:color="auto"/>
          <w:lang w:val="en-US" w:eastAsia="zh-CN" w:bidi="ar-SA"/>
        </w:rPr>
        <w:t>重点</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项目，以场景驱动技术创新与模式迭代。深入实施“数转智改网联”工程</w:t>
      </w:r>
      <w:r>
        <w:rPr>
          <w:rFonts w:hint="default" w:ascii="Times New Roman" w:hAnsi="Times New Roman" w:cs="Times New Roman"/>
          <w:b w:val="0"/>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推动数字技术从“单点应用”向“系统集成”升级，加快</w:t>
      </w:r>
      <w:r>
        <w:rPr>
          <w:rFonts w:hint="default" w:ascii="Times New Roman" w:hAnsi="Times New Roman" w:eastAsia="仿宋_GB2312" w:cs="Times New Roman"/>
          <w:color w:val="auto"/>
          <w:spacing w:val="0"/>
          <w:kern w:val="2"/>
          <w:sz w:val="32"/>
          <w:szCs w:val="32"/>
          <w:highlight w:val="none"/>
          <w:u w:val="none" w:color="auto"/>
          <w:lang w:val="en-US" w:eastAsia="zh-CN" w:bidi="ar-SA"/>
        </w:rPr>
        <w:t>制造业、服务业、农业数字化升级</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深化制造业数字化转型</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分行业制定数字化转型路线图</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支持企业应用新一代信息技术建设智能工厂、数</w:t>
      </w:r>
      <w:r>
        <w:rPr>
          <w:rFonts w:hint="default" w:ascii="Times New Roman" w:hAnsi="Times New Roman" w:eastAsia="仿宋_GB2312" w:cs="Times New Roman"/>
          <w:color w:val="auto"/>
          <w:spacing w:val="0"/>
          <w:kern w:val="2"/>
          <w:sz w:val="32"/>
          <w:szCs w:val="32"/>
          <w:highlight w:val="none"/>
          <w:u w:val="none" w:color="auto"/>
          <w:shd w:val="clear"/>
          <w:lang w:val="en-US" w:eastAsia="zh-CN" w:bidi="ar-SA"/>
        </w:rPr>
        <w:t>字化车间。推动农业数字化发展，</w:t>
      </w:r>
      <w:r>
        <w:rPr>
          <w:rFonts w:hint="eastAsia" w:ascii="Times New Roman" w:hAnsi="Times New Roman" w:cs="Times New Roman"/>
          <w:color w:val="auto"/>
          <w:spacing w:val="0"/>
          <w:kern w:val="2"/>
          <w:sz w:val="32"/>
          <w:szCs w:val="32"/>
          <w:highlight w:val="none"/>
          <w:u w:val="none" w:color="auto"/>
          <w:shd w:val="clear"/>
          <w:lang w:val="en-US" w:eastAsia="zh-CN" w:bidi="ar-SA"/>
        </w:rPr>
        <w:t>建设全区数字农业服务中心，</w:t>
      </w:r>
      <w:r>
        <w:rPr>
          <w:rFonts w:hint="default" w:ascii="Times New Roman" w:hAnsi="Times New Roman" w:eastAsia="仿宋_GB2312" w:cs="Times New Roman"/>
          <w:color w:val="auto"/>
          <w:spacing w:val="0"/>
          <w:kern w:val="2"/>
          <w:sz w:val="32"/>
          <w:szCs w:val="32"/>
          <w:highlight w:val="none"/>
          <w:u w:val="none" w:color="auto"/>
          <w:shd w:val="clear"/>
          <w:lang w:val="en-US" w:eastAsia="zh-CN" w:bidi="ar-SA"/>
        </w:rPr>
        <w:t>部署物联网传感器、智能调控设备，实现生产环境实时监测、精准调控，</w:t>
      </w:r>
      <w:r>
        <w:rPr>
          <w:rFonts w:hint="default" w:ascii="Times New Roman" w:hAnsi="Times New Roman" w:eastAsia="仿宋_GB2312" w:cs="Times New Roman"/>
          <w:color w:val="auto"/>
          <w:spacing w:val="0"/>
          <w:kern w:val="2"/>
          <w:sz w:val="32"/>
          <w:szCs w:val="32"/>
          <w:highlight w:val="none"/>
          <w:u w:val="none" w:color="auto"/>
          <w:lang w:val="en-US" w:eastAsia="zh-CN" w:bidi="ar-SA"/>
        </w:rPr>
        <w:t>发展智慧农业，推广农业物联网、遥感监测等技术应用，提升农业生产精准化、智能化水平。依托电子集成电路材料、</w:t>
      </w:r>
      <w:r>
        <w:rPr>
          <w:rFonts w:hint="default" w:ascii="Times New Roman" w:hAnsi="Times New Roman" w:eastAsia="仿宋_GB2312" w:cs="Times New Roman"/>
          <w:color w:val="auto"/>
          <w:sz w:val="32"/>
          <w:szCs w:val="32"/>
          <w:highlight w:val="none"/>
          <w:u w:val="none" w:color="auto"/>
          <w:lang w:val="en-US" w:eastAsia="zh-CN"/>
        </w:rPr>
        <w:t>导电布、电磁屏蔽材料</w:t>
      </w:r>
      <w:r>
        <w:rPr>
          <w:rFonts w:hint="default" w:ascii="Times New Roman" w:hAnsi="Times New Roman" w:eastAsia="仿宋_GB2312" w:cs="Times New Roman"/>
          <w:color w:val="auto"/>
          <w:spacing w:val="0"/>
          <w:kern w:val="2"/>
          <w:sz w:val="32"/>
          <w:szCs w:val="32"/>
          <w:highlight w:val="none"/>
          <w:u w:val="none" w:color="auto"/>
          <w:lang w:val="en-US" w:eastAsia="zh-CN" w:bidi="ar-SA"/>
        </w:rPr>
        <w:t>等高端电子设备制造业，培育2</w:t>
      </w:r>
      <w:r>
        <w:rPr>
          <w:rFonts w:hint="eastAsia"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3家互联网和软件信息服务业企业。持续开展数字化诊断服务，“十五五”期间实现规上工业企业数字化转型全覆盖</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培育一批省级以上智能工厂。</w:t>
      </w:r>
    </w:p>
    <w:p w14:paraId="01C856EC">
      <w:pPr>
        <w:shd w:val="clear"/>
        <w:spacing w:line="240" w:lineRule="auto"/>
        <w:ind w:firstLine="632" w:firstLineChars="200"/>
        <w:rPr>
          <w:rFonts w:hint="default" w:ascii="Times New Roman" w:hAnsi="Times New Roman" w:cs="Times New Roman"/>
          <w:color w:val="auto"/>
          <w:highlight w:val="none"/>
          <w:u w:val="none" w:color="auto"/>
        </w:rPr>
      </w:pP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优化数字经济发展环境。</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筑牢数字基础设施底座，推进5G网络、千兆光网深度覆盖和规模化应用，实现全区5G和千兆光网全覆盖。</w:t>
      </w:r>
      <w:r>
        <w:rPr>
          <w:rFonts w:hint="default" w:ascii="Times New Roman" w:hAnsi="Times New Roman" w:eastAsia="仿宋_GB2312" w:cs="Times New Roman"/>
          <w:color w:val="auto"/>
          <w:spacing w:val="0"/>
          <w:kern w:val="2"/>
          <w:sz w:val="32"/>
          <w:szCs w:val="32"/>
          <w:highlight w:val="none"/>
          <w:u w:val="none" w:color="auto"/>
          <w:lang w:val="en-US" w:eastAsia="zh-CN" w:bidi="ar-SA"/>
        </w:rPr>
        <w:t>适度超前布局算力基础设施，满足产业</w:t>
      </w:r>
      <w:r>
        <w:rPr>
          <w:rFonts w:hint="default" w:ascii="Times New Roman" w:hAnsi="Times New Roman" w:cs="Times New Roman"/>
          <w:color w:val="auto"/>
          <w:highlight w:val="none"/>
          <w:lang w:val="en-US" w:eastAsia="zh-CN"/>
        </w:rPr>
        <w:t>发展</w:t>
      </w:r>
      <w:r>
        <w:rPr>
          <w:rFonts w:hint="default" w:ascii="Times New Roman" w:hAnsi="Times New Roman" w:eastAsia="仿宋_GB2312" w:cs="Times New Roman"/>
          <w:color w:val="auto"/>
          <w:spacing w:val="0"/>
          <w:kern w:val="2"/>
          <w:sz w:val="32"/>
          <w:szCs w:val="32"/>
          <w:highlight w:val="none"/>
          <w:u w:val="none" w:color="auto"/>
          <w:lang w:val="en-US" w:eastAsia="zh-CN" w:bidi="ar-SA"/>
        </w:rPr>
        <w:t>需求。构建数据要素市场体系</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探索建立公共数据授权运营机制，推动数据资源化、资产化。加强数据安全和隐私保护</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开展数字技能培训，提高企业管理者、产业工人的数字能力和素养。</w:t>
      </w:r>
    </w:p>
    <w:p w14:paraId="119E20C9">
      <w:pPr>
        <w:pStyle w:val="14"/>
        <w:keepNext w:val="0"/>
        <w:keepLines w:val="0"/>
        <w:pageBreakBefore w:val="0"/>
        <w:widowControl/>
        <w:suppressLineNumbers w:val="0"/>
        <w:shd w:val="clear"/>
        <w:kinsoku/>
        <w:wordWrap/>
        <w:overflowPunct w:val="0"/>
        <w:topLinePunct w:val="0"/>
        <w:autoSpaceDE/>
        <w:autoSpaceDN/>
        <w:bidi w:val="0"/>
        <w:adjustRightInd/>
        <w:snapToGrid/>
        <w:spacing w:before="0" w:beforeAutospacing="0" w:after="0" w:afterAutospacing="0" w:line="240" w:lineRule="auto"/>
        <w:ind w:right="0" w:firstLine="0" w:firstLineChars="0"/>
        <w:jc w:val="center"/>
        <w:textAlignment w:val="auto"/>
        <w:outlineLvl w:val="1"/>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41" w:name="_Toc16268"/>
      <w:bookmarkStart w:id="42" w:name="_Toc957380719"/>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 xml:space="preserve">第五节 </w:t>
      </w:r>
      <w:r>
        <w:rPr>
          <w:rStyle w:val="19"/>
          <w:rFonts w:hint="eastAsia"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拓展</w:t>
      </w:r>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开发区</w:t>
      </w:r>
      <w:bookmarkEnd w:id="40"/>
      <w:bookmarkEnd w:id="41"/>
      <w:r>
        <w:rPr>
          <w:rStyle w:val="19"/>
          <w:rFonts w:hint="eastAsia"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承载能力</w:t>
      </w:r>
      <w:bookmarkEnd w:id="42"/>
    </w:p>
    <w:p w14:paraId="6D96CDDB">
      <w:pPr>
        <w:shd w:val="clear"/>
        <w:spacing w:line="240" w:lineRule="auto"/>
        <w:ind w:firstLine="632" w:firstLineChars="200"/>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以深化改革与创新运营为核心，聚焦主导产业，优化空间布局，强化园区功能定位、产业布局、基础设施建设与要素保障，提升园区承载力和竞争力，推动</w:t>
      </w:r>
      <w:r>
        <w:rPr>
          <w:rFonts w:hint="eastAsia" w:ascii="Times New Roman" w:hAnsi="Times New Roman" w:cs="Times New Roman"/>
          <w:b w:val="0"/>
          <w:bCs w:val="0"/>
          <w:color w:val="auto"/>
          <w:spacing w:val="0"/>
          <w:kern w:val="2"/>
          <w:sz w:val="32"/>
          <w:szCs w:val="32"/>
          <w:highlight w:val="none"/>
          <w:u w:val="none" w:color="auto"/>
          <w:lang w:val="en-US" w:eastAsia="zh-CN" w:bidi="ar-SA"/>
        </w:rPr>
        <w:t>园区</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向绿色化、智慧化、开放型现代产业功能区转型升级。</w:t>
      </w:r>
    </w:p>
    <w:p w14:paraId="484BB198">
      <w:pPr>
        <w:shd w:val="clear"/>
        <w:spacing w:line="240" w:lineRule="auto"/>
        <w:ind w:firstLine="632" w:firstLineChars="200"/>
        <w:rPr>
          <w:rFonts w:hint="default" w:ascii="Times New Roman" w:hAnsi="Times New Roman" w:eastAsia="仿宋_GB2312" w:cs="Times New Roman"/>
          <w:b/>
          <w:bCs/>
          <w:color w:val="auto"/>
          <w:spacing w:val="0"/>
          <w:kern w:val="2"/>
          <w:sz w:val="32"/>
          <w:szCs w:val="32"/>
          <w:highlight w:val="none"/>
          <w:u w:val="none" w:color="auto"/>
          <w:lang w:val="en-US" w:eastAsia="zh-CN" w:bidi="ar-SA"/>
        </w:rPr>
      </w:pPr>
      <w:r>
        <w:rPr>
          <w:rFonts w:hint="default" w:ascii="Times New Roman" w:hAnsi="Times New Roman" w:cs="Times New Roman"/>
          <w:b/>
          <w:bCs/>
          <w:color w:val="auto"/>
          <w:spacing w:val="0"/>
          <w:kern w:val="2"/>
          <w:sz w:val="32"/>
          <w:szCs w:val="32"/>
          <w:highlight w:val="none"/>
          <w:u w:val="none" w:color="auto"/>
          <w:lang w:val="en-US" w:eastAsia="zh-CN" w:bidi="ar-SA"/>
        </w:rPr>
        <w:t>加快推进园区招商引资。</w:t>
      </w:r>
      <w:r>
        <w:rPr>
          <w:rFonts w:hint="default" w:ascii="Times New Roman" w:hAnsi="Times New Roman" w:cs="Times New Roman"/>
          <w:b w:val="0"/>
          <w:bCs w:val="0"/>
          <w:color w:val="auto"/>
          <w:kern w:val="2"/>
          <w:sz w:val="32"/>
          <w:szCs w:val="32"/>
          <w:highlight w:val="none"/>
          <w:u w:val="none" w:color="auto"/>
          <w:lang w:bidi="ar-SA"/>
        </w:rPr>
        <w:t>聚焦主导产业实施产业链招商</w:t>
      </w:r>
      <w:r>
        <w:rPr>
          <w:rFonts w:hint="default" w:ascii="Times New Roman" w:hAnsi="Times New Roman" w:cs="Times New Roman"/>
          <w:b w:val="0"/>
          <w:bCs w:val="0"/>
          <w:color w:val="auto"/>
          <w:kern w:val="2"/>
          <w:sz w:val="32"/>
          <w:szCs w:val="32"/>
          <w:highlight w:val="none"/>
          <w:u w:val="none" w:color="auto"/>
          <w:lang w:eastAsia="zh-CN" w:bidi="ar-SA"/>
        </w:rPr>
        <w:t>，</w:t>
      </w:r>
      <w:r>
        <w:rPr>
          <w:rFonts w:hint="default" w:ascii="Times New Roman" w:hAnsi="Times New Roman" w:cs="Times New Roman"/>
          <w:b w:val="0"/>
          <w:bCs w:val="0"/>
          <w:color w:val="auto"/>
          <w:kern w:val="2"/>
          <w:sz w:val="32"/>
          <w:szCs w:val="32"/>
          <w:highlight w:val="none"/>
          <w:u w:val="none" w:color="auto"/>
          <w:lang w:bidi="ar-SA"/>
        </w:rPr>
        <w:t>紧密围绕</w:t>
      </w:r>
      <w:r>
        <w:rPr>
          <w:rFonts w:hint="default" w:ascii="Times New Roman" w:hAnsi="Times New Roman" w:cs="Times New Roman"/>
          <w:b w:val="0"/>
          <w:bCs w:val="0"/>
          <w:color w:val="auto"/>
          <w:kern w:val="2"/>
          <w:sz w:val="32"/>
          <w:szCs w:val="32"/>
          <w:highlight w:val="none"/>
          <w:u w:val="none" w:color="auto"/>
          <w:lang w:val="en-US" w:eastAsia="zh-CN" w:bidi="ar-SA"/>
        </w:rPr>
        <w:t>现代医药</w:t>
      </w:r>
      <w:r>
        <w:rPr>
          <w:rFonts w:hint="default" w:ascii="Times New Roman" w:hAnsi="Times New Roman" w:cs="Times New Roman"/>
          <w:b w:val="0"/>
          <w:bCs w:val="0"/>
          <w:color w:val="auto"/>
          <w:kern w:val="2"/>
          <w:sz w:val="32"/>
          <w:szCs w:val="32"/>
          <w:highlight w:val="none"/>
          <w:u w:val="none" w:color="auto"/>
          <w:lang w:bidi="ar-SA"/>
        </w:rPr>
        <w:t>、</w:t>
      </w:r>
      <w:r>
        <w:rPr>
          <w:rFonts w:hint="default" w:ascii="Times New Roman" w:hAnsi="Times New Roman" w:cs="Times New Roman"/>
          <w:b w:val="0"/>
          <w:bCs w:val="0"/>
          <w:color w:val="auto"/>
          <w:kern w:val="2"/>
          <w:sz w:val="32"/>
          <w:szCs w:val="32"/>
          <w:highlight w:val="none"/>
          <w:u w:val="none" w:color="auto"/>
          <w:lang w:val="en-US" w:eastAsia="zh-CN" w:bidi="ar-SA"/>
        </w:rPr>
        <w:t>新材料</w:t>
      </w:r>
      <w:r>
        <w:rPr>
          <w:rFonts w:hint="default" w:ascii="Times New Roman" w:hAnsi="Times New Roman" w:cs="Times New Roman"/>
          <w:b w:val="0"/>
          <w:bCs w:val="0"/>
          <w:color w:val="auto"/>
          <w:kern w:val="2"/>
          <w:sz w:val="32"/>
          <w:szCs w:val="32"/>
          <w:highlight w:val="none"/>
          <w:u w:val="none" w:color="auto"/>
          <w:lang w:bidi="ar-SA"/>
        </w:rPr>
        <w:t>、新能源、食品</w:t>
      </w:r>
      <w:r>
        <w:rPr>
          <w:rFonts w:hint="default" w:ascii="Times New Roman" w:hAnsi="Times New Roman" w:cs="Times New Roman"/>
          <w:b w:val="0"/>
          <w:bCs w:val="0"/>
          <w:color w:val="auto"/>
          <w:kern w:val="2"/>
          <w:sz w:val="32"/>
          <w:szCs w:val="32"/>
          <w:highlight w:val="none"/>
          <w:u w:val="none" w:color="auto"/>
          <w:lang w:val="en-US" w:eastAsia="zh-CN" w:bidi="ar-SA"/>
        </w:rPr>
        <w:t>加工</w:t>
      </w:r>
      <w:r>
        <w:rPr>
          <w:rFonts w:hint="default" w:ascii="Times New Roman" w:hAnsi="Times New Roman" w:cs="Times New Roman"/>
          <w:b w:val="0"/>
          <w:bCs w:val="0"/>
          <w:color w:val="auto"/>
          <w:kern w:val="2"/>
          <w:sz w:val="32"/>
          <w:szCs w:val="32"/>
          <w:highlight w:val="none"/>
          <w:u w:val="none" w:color="auto"/>
          <w:lang w:bidi="ar-SA"/>
        </w:rPr>
        <w:t>等产业，绘制产业链全景图与招商地图</w:t>
      </w:r>
      <w:r>
        <w:rPr>
          <w:rFonts w:hint="default" w:ascii="Times New Roman" w:hAnsi="Times New Roman" w:cs="Times New Roman"/>
          <w:b w:val="0"/>
          <w:bCs w:val="0"/>
          <w:color w:val="auto"/>
          <w:kern w:val="2"/>
          <w:sz w:val="32"/>
          <w:szCs w:val="32"/>
          <w:highlight w:val="none"/>
          <w:u w:val="none" w:color="auto"/>
          <w:lang w:eastAsia="zh-CN" w:bidi="ar-SA"/>
        </w:rPr>
        <w:t>，</w:t>
      </w:r>
      <w:r>
        <w:rPr>
          <w:rFonts w:hint="default" w:ascii="Times New Roman" w:hAnsi="Times New Roman" w:cs="Times New Roman"/>
          <w:b w:val="0"/>
          <w:bCs w:val="0"/>
          <w:color w:val="auto"/>
          <w:kern w:val="2"/>
          <w:sz w:val="32"/>
          <w:szCs w:val="32"/>
          <w:highlight w:val="none"/>
          <w:u w:val="none" w:color="auto"/>
          <w:lang w:bidi="ar-SA"/>
        </w:rPr>
        <w:t>重点招引化学原料药与高端制剂、高性能医疗器械、智能装备与关键零部件、</w:t>
      </w:r>
      <w:r>
        <w:rPr>
          <w:rFonts w:hint="default" w:ascii="Times New Roman" w:hAnsi="Times New Roman" w:cs="Times New Roman"/>
          <w:color w:val="auto"/>
          <w:highlight w:val="none"/>
          <w:lang w:val="en-US" w:eastAsia="zh-CN"/>
        </w:rPr>
        <w:t>新型</w:t>
      </w:r>
      <w:r>
        <w:rPr>
          <w:rFonts w:hint="default" w:ascii="Times New Roman" w:hAnsi="Times New Roman" w:cs="Times New Roman"/>
          <w:b w:val="0"/>
          <w:bCs w:val="0"/>
          <w:color w:val="auto"/>
          <w:kern w:val="2"/>
          <w:sz w:val="32"/>
          <w:szCs w:val="32"/>
          <w:highlight w:val="none"/>
          <w:u w:val="none" w:color="auto"/>
          <w:lang w:bidi="ar-SA"/>
        </w:rPr>
        <w:t>储能及核心材料、预制菜与功能性食品等领域的企业和“专精特新”项目，填补产业链关键缺失环节，提升产业集群化发展水平。依托载体平台实施集群化招商，开展平台招商与“园中园”建设</w:t>
      </w:r>
      <w:r>
        <w:rPr>
          <w:rFonts w:hint="default" w:ascii="Times New Roman" w:hAnsi="Times New Roman" w:cs="Times New Roman"/>
          <w:b w:val="0"/>
          <w:bCs w:val="0"/>
          <w:color w:val="auto"/>
          <w:kern w:val="2"/>
          <w:sz w:val="32"/>
          <w:szCs w:val="32"/>
          <w:highlight w:val="none"/>
          <w:u w:val="none" w:color="auto"/>
          <w:lang w:eastAsia="zh-CN" w:bidi="ar-SA"/>
        </w:rPr>
        <w:t>，</w:t>
      </w:r>
      <w:r>
        <w:rPr>
          <w:rFonts w:hint="default" w:ascii="Times New Roman" w:hAnsi="Times New Roman" w:cs="Times New Roman"/>
          <w:b w:val="0"/>
          <w:bCs w:val="0"/>
          <w:color w:val="auto"/>
          <w:kern w:val="2"/>
          <w:sz w:val="32"/>
          <w:szCs w:val="32"/>
          <w:highlight w:val="none"/>
          <w:u w:val="none" w:color="auto"/>
          <w:lang w:bidi="ar-SA"/>
        </w:rPr>
        <w:t>瞄准行业领军企业和上下游配套企业，引进整链或模块化项目，推动形成“核心企业+配套企业+公共服务”的产业生态，降低企业综合成本，提升园区产业承载力</w:t>
      </w:r>
      <w:r>
        <w:rPr>
          <w:rFonts w:hint="eastAsia" w:ascii="Times New Roman" w:hAnsi="Times New Roman" w:cs="Times New Roman"/>
          <w:b w:val="0"/>
          <w:bCs w:val="0"/>
          <w:color w:val="auto"/>
          <w:kern w:val="2"/>
          <w:sz w:val="32"/>
          <w:szCs w:val="32"/>
          <w:highlight w:val="none"/>
          <w:u w:val="none" w:color="auto"/>
          <w:lang w:eastAsia="zh-CN" w:bidi="ar-SA"/>
        </w:rPr>
        <w:t>和</w:t>
      </w:r>
      <w:r>
        <w:rPr>
          <w:rFonts w:hint="default" w:ascii="Times New Roman" w:hAnsi="Times New Roman" w:cs="Times New Roman"/>
          <w:b w:val="0"/>
          <w:bCs w:val="0"/>
          <w:color w:val="auto"/>
          <w:kern w:val="2"/>
          <w:sz w:val="32"/>
          <w:szCs w:val="32"/>
          <w:highlight w:val="none"/>
          <w:u w:val="none" w:color="auto"/>
          <w:lang w:bidi="ar-SA"/>
        </w:rPr>
        <w:t>吸引力。积极运用资本招商、以商招商、飞地招商等新模式</w:t>
      </w:r>
      <w:r>
        <w:rPr>
          <w:rFonts w:hint="default" w:ascii="Times New Roman" w:hAnsi="Times New Roman" w:cs="Times New Roman"/>
          <w:b w:val="0"/>
          <w:bCs w:val="0"/>
          <w:color w:val="auto"/>
          <w:kern w:val="2"/>
          <w:sz w:val="32"/>
          <w:szCs w:val="32"/>
          <w:highlight w:val="none"/>
          <w:u w:val="none" w:color="auto"/>
          <w:lang w:eastAsia="zh-CN" w:bidi="ar-SA"/>
        </w:rPr>
        <w:t>，</w:t>
      </w:r>
      <w:r>
        <w:rPr>
          <w:rFonts w:hint="default" w:ascii="Times New Roman" w:hAnsi="Times New Roman" w:cs="Times New Roman"/>
          <w:b w:val="0"/>
          <w:bCs w:val="0"/>
          <w:color w:val="auto"/>
          <w:kern w:val="2"/>
          <w:sz w:val="32"/>
          <w:szCs w:val="32"/>
          <w:highlight w:val="none"/>
          <w:u w:val="none" w:color="auto"/>
          <w:lang w:bidi="ar-SA"/>
        </w:rPr>
        <w:t>撬动社会资本共同投向重点产业领域。充分发挥区内企业与行业协会的桥梁纽带作用，挖掘其合作伙伴与客户资源。</w:t>
      </w:r>
    </w:p>
    <w:p w14:paraId="4D0815B7">
      <w:pPr>
        <w:shd w:val="clear"/>
        <w:spacing w:line="240" w:lineRule="auto"/>
        <w:ind w:firstLine="632"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优化</w:t>
      </w:r>
      <w:r>
        <w:rPr>
          <w:rFonts w:hint="default" w:ascii="Times New Roman" w:hAnsi="Times New Roman" w:cs="Times New Roman"/>
          <w:b/>
          <w:bCs/>
          <w:color w:val="auto"/>
          <w:spacing w:val="0"/>
          <w:kern w:val="2"/>
          <w:sz w:val="32"/>
          <w:szCs w:val="32"/>
          <w:highlight w:val="none"/>
          <w:u w:val="none" w:color="auto"/>
          <w:lang w:val="en-US" w:eastAsia="zh-CN" w:bidi="ar-SA"/>
        </w:rPr>
        <w:t>园区产业</w:t>
      </w: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空间布局。</w:t>
      </w:r>
      <w:r>
        <w:rPr>
          <w:rFonts w:hint="default" w:ascii="Times New Roman" w:hAnsi="Times New Roman" w:eastAsia="仿宋_GB2312" w:cs="Times New Roman"/>
          <w:color w:val="auto"/>
          <w:spacing w:val="0"/>
          <w:kern w:val="2"/>
          <w:sz w:val="32"/>
          <w:szCs w:val="32"/>
          <w:highlight w:val="none"/>
          <w:u w:val="none" w:color="auto"/>
          <w:lang w:val="en-US" w:eastAsia="zh-CN" w:bidi="ar-SA"/>
        </w:rPr>
        <w:t>坚持规划引领，按照“布局集中、产业集聚、用地集约”的原则，进一步明确开发区各功能片区定位。强化核心区引领作用</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围绕</w:t>
      </w:r>
      <w:r>
        <w:rPr>
          <w:rFonts w:hint="default" w:ascii="Times New Roman" w:hAnsi="Times New Roman" w:cs="Times New Roman"/>
          <w:color w:val="auto"/>
          <w:spacing w:val="0"/>
          <w:kern w:val="2"/>
          <w:sz w:val="32"/>
          <w:szCs w:val="32"/>
          <w:highlight w:val="none"/>
          <w:u w:val="none" w:color="auto"/>
          <w:lang w:val="en-US" w:eastAsia="zh-CN" w:bidi="ar-SA"/>
        </w:rPr>
        <w:t>现代医药</w:t>
      </w:r>
      <w:r>
        <w:rPr>
          <w:rFonts w:hint="default" w:ascii="Times New Roman" w:hAnsi="Times New Roman" w:eastAsia="仿宋_GB2312" w:cs="Times New Roman"/>
          <w:color w:val="auto"/>
          <w:spacing w:val="0"/>
          <w:kern w:val="2"/>
          <w:sz w:val="32"/>
          <w:szCs w:val="32"/>
          <w:highlight w:val="none"/>
          <w:u w:val="none" w:color="auto"/>
          <w:lang w:val="en-US" w:eastAsia="zh-CN" w:bidi="ar-SA"/>
        </w:rPr>
        <w:t>、新材料等主导产业，聚焦润鑫化工产业园、星顺生益科技产业园、天厚5G新材料产业园等核心区块，推进道路、管廊、</w:t>
      </w:r>
      <w:r>
        <w:rPr>
          <w:rFonts w:hint="default" w:ascii="Times New Roman" w:hAnsi="Times New Roman" w:eastAsia="仿宋_GB2312" w:cs="Times New Roman"/>
          <w:color w:val="auto"/>
          <w:spacing w:val="0"/>
          <w:kern w:val="2"/>
          <w:sz w:val="32"/>
          <w:szCs w:val="32"/>
          <w:highlight w:val="none"/>
          <w:u w:val="none" w:color="auto"/>
          <w:shd w:val="clear"/>
          <w:lang w:val="en-US" w:eastAsia="zh-CN" w:bidi="ar-SA"/>
        </w:rPr>
        <w:t>危化品停车场</w:t>
      </w:r>
      <w:r>
        <w:rPr>
          <w:rFonts w:hint="default" w:ascii="Times New Roman" w:hAnsi="Times New Roman" w:eastAsia="仿宋_GB2312" w:cs="Times New Roman"/>
          <w:color w:val="auto"/>
          <w:spacing w:val="0"/>
          <w:kern w:val="2"/>
          <w:sz w:val="32"/>
          <w:szCs w:val="32"/>
          <w:highlight w:val="none"/>
          <w:u w:val="none" w:color="auto"/>
          <w:lang w:val="en-US" w:eastAsia="zh-CN" w:bidi="ar-SA"/>
        </w:rPr>
        <w:t>、中水回用等设施建设，打造成为</w:t>
      </w:r>
      <w:r>
        <w:rPr>
          <w:rFonts w:hint="default" w:ascii="Times New Roman" w:hAnsi="Times New Roman" w:cs="Times New Roman"/>
          <w:color w:val="auto"/>
          <w:spacing w:val="0"/>
          <w:kern w:val="2"/>
          <w:sz w:val="32"/>
          <w:szCs w:val="32"/>
          <w:highlight w:val="none"/>
          <w:u w:val="none" w:color="auto"/>
          <w:lang w:val="en-US" w:eastAsia="zh-CN" w:bidi="ar-SA"/>
        </w:rPr>
        <w:t>全区</w:t>
      </w:r>
      <w:r>
        <w:rPr>
          <w:rFonts w:hint="default" w:ascii="Times New Roman" w:hAnsi="Times New Roman" w:eastAsia="仿宋_GB2312" w:cs="Times New Roman"/>
          <w:color w:val="auto"/>
          <w:spacing w:val="0"/>
          <w:kern w:val="2"/>
          <w:sz w:val="32"/>
          <w:szCs w:val="32"/>
          <w:highlight w:val="none"/>
          <w:u w:val="none" w:color="auto"/>
          <w:lang w:val="en-US" w:eastAsia="zh-CN" w:bidi="ar-SA"/>
        </w:rPr>
        <w:t>创新策源地和产业增长极。合理规划生产、生活、生态空间，完善研发设计、检验检测、标准制定等公共服务功能。推进“区中园”特色化发展</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围绕产业链细分领域，规划建设大健康产业园、高端装备产业园、循环经济产业园等特色“区中园”，实现差异化、专业化发展。</w:t>
      </w:r>
    </w:p>
    <w:p w14:paraId="5085CC80">
      <w:pPr>
        <w:spacing w:line="240" w:lineRule="auto"/>
        <w:ind w:firstLine="632"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深化体制机制改革。</w:t>
      </w:r>
      <w:r>
        <w:rPr>
          <w:rFonts w:hint="default" w:ascii="Times New Roman" w:hAnsi="Times New Roman" w:eastAsia="仿宋_GB2312" w:cs="Times New Roman"/>
          <w:color w:val="auto"/>
          <w:spacing w:val="0"/>
          <w:kern w:val="2"/>
          <w:sz w:val="32"/>
          <w:szCs w:val="32"/>
          <w:highlight w:val="none"/>
          <w:u w:val="none" w:color="auto"/>
          <w:lang w:val="en-US" w:eastAsia="zh-CN" w:bidi="ar-SA"/>
        </w:rPr>
        <w:t>营造市场化、法治化、国际化的一流营商环境</w:t>
      </w:r>
      <w:r>
        <w:rPr>
          <w:rFonts w:hint="eastAsia"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建立以高质量发展为导向的评价体系。提升对外开放合作能级</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积极对接黄河流域生态保护和高质量发展、绿色低碳高质量发展等国家战略，承接优质产业转移。支持企业开拓国际市场，参与全球产业链分工。推进开发区智慧化改造，建设智慧管理平台，实现对能源、环境、安全等的实时监测与智能调控，打造绿色、安全、智慧的现代化产业功能区。</w:t>
      </w:r>
    </w:p>
    <w:p w14:paraId="0A78EA5E">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w:t>
      </w:r>
      <w:r>
        <w:rPr>
          <w:rFonts w:hint="eastAsia" w:ascii="Times New Roman" w:hAnsi="Times New Roman" w:eastAsia="黑体" w:cs="Times New Roman"/>
          <w:color w:val="auto"/>
          <w:spacing w:val="0"/>
          <w:sz w:val="28"/>
          <w:szCs w:val="28"/>
          <w:highlight w:val="none"/>
          <w:u w:val="none" w:color="auto"/>
          <w:lang w:val="en-US" w:eastAsia="zh-CN"/>
        </w:rPr>
        <w:t>4</w:t>
      </w:r>
      <w:r>
        <w:rPr>
          <w:rFonts w:hint="default" w:ascii="Times New Roman" w:hAnsi="Times New Roman" w:eastAsia="黑体" w:cs="Times New Roman"/>
          <w:color w:val="auto"/>
          <w:spacing w:val="0"/>
          <w:sz w:val="28"/>
          <w:szCs w:val="28"/>
          <w:highlight w:val="none"/>
          <w:u w:val="none" w:color="auto"/>
          <w:lang w:val="en-US" w:eastAsia="zh-CN"/>
        </w:rPr>
        <w:t xml:space="preserve"> </w:t>
      </w:r>
      <w:r>
        <w:rPr>
          <w:rFonts w:hint="eastAsia" w:ascii="Times New Roman" w:hAnsi="Times New Roman" w:eastAsia="黑体" w:cs="Times New Roman"/>
          <w:color w:val="auto"/>
          <w:spacing w:val="0"/>
          <w:sz w:val="28"/>
          <w:szCs w:val="28"/>
          <w:highlight w:val="none"/>
          <w:u w:val="none" w:color="auto"/>
          <w:lang w:val="en-US" w:eastAsia="zh-CN"/>
        </w:rPr>
        <w:t>重点园区改造提升项目</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BEE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060" w:type="dxa"/>
            <w:vAlign w:val="center"/>
          </w:tcPr>
          <w:p w14:paraId="0027102B">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Autospacing="0" w:line="480" w:lineRule="exact"/>
              <w:jc w:val="center"/>
              <w:textAlignment w:val="auto"/>
              <w:rPr>
                <w:rFonts w:hint="default" w:ascii="Times New Roman" w:hAnsi="Times New Roman" w:eastAsia="仿宋_GB2312" w:cs="Times New Roman"/>
                <w:color w:val="auto"/>
                <w:spacing w:val="5"/>
                <w:kern w:val="2"/>
                <w:sz w:val="28"/>
                <w:szCs w:val="28"/>
                <w:highlight w:val="none"/>
                <w:u w:val="none" w:color="auto"/>
                <w:vertAlign w:val="baseline"/>
                <w:lang w:val="en-US" w:eastAsia="zh-CN" w:bidi="ar-SA"/>
              </w:rPr>
            </w:pPr>
            <w:r>
              <w:rPr>
                <w:rFonts w:hint="default" w:ascii="Times New Roman" w:hAnsi="Times New Roman" w:eastAsia="仿宋_GB2312" w:cs="Times New Roman"/>
                <w:b w:val="0"/>
                <w:bCs w:val="0"/>
                <w:color w:val="auto"/>
                <w:spacing w:val="0"/>
                <w:kern w:val="2"/>
                <w:sz w:val="28"/>
                <w:szCs w:val="28"/>
                <w:highlight w:val="none"/>
                <w:u w:val="none" w:color="auto"/>
                <w:lang w:val="en-US" w:eastAsia="zh-CN" w:bidi="ar-SA"/>
              </w:rPr>
              <w:t>定陶润鑫化工产业园提升改造、高端智能制造产业园提升改造(定陶区)</w:t>
            </w:r>
          </w:p>
        </w:tc>
      </w:tr>
    </w:tbl>
    <w:p w14:paraId="6282EA6E">
      <w:pPr>
        <w:pStyle w:val="14"/>
        <w:keepNext w:val="0"/>
        <w:keepLines w:val="0"/>
        <w:pageBreakBefore w:val="0"/>
        <w:widowControl/>
        <w:suppressLineNumbers w:val="0"/>
        <w:shd w:val="clear"/>
        <w:kinsoku/>
        <w:wordWrap/>
        <w:overflowPunct w:val="0"/>
        <w:topLinePunct w:val="0"/>
        <w:autoSpaceDE/>
        <w:autoSpaceDN/>
        <w:bidi w:val="0"/>
        <w:adjustRightInd w:val="0"/>
        <w:snapToGrid w:val="0"/>
        <w:spacing w:before="0" w:beforeAutospacing="0" w:after="0" w:afterAutospacing="0" w:line="240" w:lineRule="auto"/>
        <w:ind w:right="0" w:firstLine="632" w:firstLineChars="200"/>
        <w:jc w:val="both"/>
        <w:textAlignment w:val="auto"/>
        <w:rPr>
          <w:rFonts w:hint="default" w:ascii="Times New Roman" w:hAnsi="Times New Roman" w:eastAsia="仿宋_GB2312" w:cs="Times New Roman"/>
          <w:color w:val="auto"/>
          <w:spacing w:val="0"/>
          <w:kern w:val="2"/>
          <w:sz w:val="32"/>
          <w:szCs w:val="32"/>
          <w:highlight w:val="none"/>
          <w:u w:val="none" w:color="auto"/>
          <w:lang w:val="en-US" w:eastAsia="zh-CN" w:bidi="ar-SA"/>
        </w:rPr>
      </w:pPr>
    </w:p>
    <w:p w14:paraId="04B7FCDD">
      <w:pPr>
        <w:shd w:val="clear"/>
        <w:overflowPunct w:val="0"/>
        <w:spacing w:line="240" w:lineRule="auto"/>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br w:type="page"/>
      </w:r>
    </w:p>
    <w:p w14:paraId="5C84C0E3">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43" w:name="_Toc978688534"/>
      <w:bookmarkStart w:id="44" w:name="_Toc750"/>
      <w:bookmarkStart w:id="45" w:name="_Toc30901"/>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第四章 实施创新驱动发展战略 构筑区域发展新优势</w:t>
      </w:r>
      <w:bookmarkEnd w:id="43"/>
    </w:p>
    <w:p w14:paraId="4EA808D0">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r>
        <w:rPr>
          <w:rFonts w:hint="default" w:ascii="Times New Roman" w:hAnsi="Times New Roman" w:cs="Times New Roman"/>
          <w:b w:val="0"/>
          <w:bCs w:val="0"/>
          <w:color w:val="auto"/>
          <w:spacing w:val="0"/>
          <w:kern w:val="2"/>
          <w:sz w:val="32"/>
          <w:szCs w:val="32"/>
          <w:highlight w:val="none"/>
          <w:u w:val="none" w:color="auto"/>
          <w:lang w:val="en-US" w:eastAsia="zh-CN" w:bidi="ar-SA"/>
        </w:rPr>
        <w:t>坚持借力借势、协同创新，推进科技创新和产业创新深度融合，因地制宜打造适配定陶产业特色的创新平台和人才集聚载体，加快形成人才创新优势、产业创新优势和创新生态优势，着力建设科技创新资源相对集聚、成果转化效能突出、创新创业生态环境优良的创新型城区。</w:t>
      </w:r>
    </w:p>
    <w:p w14:paraId="56138A53">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46" w:name="_Toc2107255797"/>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提高科技创新发展能级</w:t>
      </w:r>
      <w:bookmarkEnd w:id="46"/>
    </w:p>
    <w:p w14:paraId="253F2455">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r>
        <w:rPr>
          <w:rFonts w:hint="default" w:ascii="Times New Roman" w:hAnsi="Times New Roman" w:cs="Times New Roman"/>
          <w:b w:val="0"/>
          <w:bCs w:val="0"/>
          <w:color w:val="auto"/>
          <w:spacing w:val="0"/>
          <w:kern w:val="2"/>
          <w:sz w:val="32"/>
          <w:szCs w:val="32"/>
          <w:highlight w:val="none"/>
          <w:u w:val="none" w:color="auto"/>
          <w:lang w:val="en-US" w:eastAsia="zh-CN" w:bidi="ar-SA"/>
        </w:rPr>
        <w:t>聚焦“强产业、育主体、搭平台、促转化、聚要素、优环境”精准发力，推动科技创新支撑能力实现质的有效提升和量的合理增长。</w:t>
      </w:r>
    </w:p>
    <w:p w14:paraId="1AEB8C59">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color w:val="auto"/>
          <w:kern w:val="2"/>
          <w:sz w:val="32"/>
          <w:szCs w:val="32"/>
          <w:highlight w:val="none"/>
          <w:u w:val="none" w:color="auto"/>
          <w:lang w:val="en-US" w:eastAsia="zh-CN" w:bidi="ar-SA"/>
        </w:rPr>
        <w:t>深化产学研用协同创新</w:t>
      </w:r>
      <w:r>
        <w:rPr>
          <w:rFonts w:hint="default" w:ascii="Times New Roman" w:hAnsi="Times New Roman" w:cs="Times New Roman"/>
          <w:b w:val="0"/>
          <w:bCs w:val="0"/>
          <w:color w:val="auto"/>
          <w:spacing w:val="0"/>
          <w:kern w:val="2"/>
          <w:sz w:val="32"/>
          <w:szCs w:val="32"/>
          <w:highlight w:val="none"/>
          <w:u w:val="none" w:color="auto"/>
          <w:lang w:val="en-US" w:eastAsia="zh-CN" w:bidi="ar-SA"/>
        </w:rPr>
        <w:t>。全面深化校院企地协同创新，探索构建校地战略同盟、发展共同体、利益共同体，促进高校科技成果就地高效转化。打造“千校百企”对接平台，畅通高校院所和企业信息沟通、项目对接渠道。定期开展高校、企业、人才对接洽谈活动，推动企业与高校、院所及科技中介组织的有效对接，不断加大技术交易力度，推动科技创新优势、成果优势向产业优势转化。加快推动概念验证中心、中试基地建设，完善“创新成果</w:t>
      </w:r>
      <w:r>
        <w:rPr>
          <w:rFonts w:hint="eastAsia" w:ascii="Times New Roman" w:hAnsi="Times New Roman" w:cs="Times New Roman"/>
          <w:b w:val="0"/>
          <w:bCs w:val="0"/>
          <w:color w:val="auto"/>
          <w:spacing w:val="0"/>
          <w:kern w:val="2"/>
          <w:sz w:val="32"/>
          <w:szCs w:val="32"/>
          <w:highlight w:val="none"/>
          <w:u w:val="none" w:color="auto"/>
          <w:lang w:val="en-US" w:eastAsia="zh-CN" w:bidi="ar-SA"/>
        </w:rPr>
        <w:t>—</w:t>
      </w:r>
      <w:r>
        <w:rPr>
          <w:rFonts w:hint="default" w:ascii="Times New Roman" w:hAnsi="Times New Roman" w:cs="Times New Roman"/>
          <w:b w:val="0"/>
          <w:bCs w:val="0"/>
          <w:color w:val="auto"/>
          <w:spacing w:val="0"/>
          <w:kern w:val="2"/>
          <w:sz w:val="32"/>
          <w:szCs w:val="32"/>
          <w:highlight w:val="none"/>
          <w:u w:val="none" w:color="auto"/>
          <w:lang w:val="en-US" w:eastAsia="zh-CN" w:bidi="ar-SA"/>
        </w:rPr>
        <w:t>中间试验</w:t>
      </w:r>
      <w:r>
        <w:rPr>
          <w:rFonts w:hint="eastAsia" w:ascii="Times New Roman" w:hAnsi="Times New Roman" w:cs="Times New Roman"/>
          <w:b w:val="0"/>
          <w:bCs w:val="0"/>
          <w:color w:val="auto"/>
          <w:spacing w:val="0"/>
          <w:kern w:val="2"/>
          <w:sz w:val="32"/>
          <w:szCs w:val="32"/>
          <w:highlight w:val="none"/>
          <w:u w:val="none" w:color="auto"/>
          <w:lang w:val="en-US" w:eastAsia="zh-CN" w:bidi="ar-SA"/>
        </w:rPr>
        <w:t>—</w:t>
      </w:r>
      <w:r>
        <w:rPr>
          <w:rFonts w:hint="default" w:ascii="Times New Roman" w:hAnsi="Times New Roman" w:cs="Times New Roman"/>
          <w:b w:val="0"/>
          <w:bCs w:val="0"/>
          <w:color w:val="auto"/>
          <w:spacing w:val="0"/>
          <w:kern w:val="2"/>
          <w:sz w:val="32"/>
          <w:szCs w:val="32"/>
          <w:highlight w:val="none"/>
          <w:u w:val="none" w:color="auto"/>
          <w:lang w:val="en-US" w:eastAsia="zh-CN" w:bidi="ar-SA"/>
        </w:rPr>
        <w:t>产业化应用”梯级孵化体系，构建“政产学研用投”全要素、全链条、全周期科技成果转移转化体系。鼓励科技型企业和省内外高校院所合作，通过共设创新专项、共组创新团队、共建创新机构等形式开展联合攻关，突破一批重大共性技术和关键核心技术。</w:t>
      </w:r>
    </w:p>
    <w:p w14:paraId="79AEE5DB">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r>
        <w:rPr>
          <w:rFonts w:hint="default" w:ascii="Times New Roman" w:hAnsi="Times New Roman" w:cs="Times New Roman"/>
          <w:b/>
          <w:bCs/>
          <w:color w:val="auto"/>
          <w:kern w:val="2"/>
          <w:sz w:val="32"/>
          <w:szCs w:val="32"/>
          <w:highlight w:val="none"/>
          <w:u w:val="none" w:color="auto"/>
          <w:lang w:val="en-US" w:eastAsia="zh-CN" w:bidi="ar-SA"/>
        </w:rPr>
        <w:t>持续</w:t>
      </w:r>
      <w:r>
        <w:rPr>
          <w:rFonts w:hint="default" w:ascii="Times New Roman" w:hAnsi="Times New Roman" w:eastAsia="仿宋_GB2312" w:cs="Times New Roman"/>
          <w:b/>
          <w:bCs/>
          <w:color w:val="auto"/>
          <w:kern w:val="2"/>
          <w:sz w:val="32"/>
          <w:szCs w:val="32"/>
          <w:highlight w:val="none"/>
          <w:u w:val="none" w:color="auto"/>
          <w:lang w:val="en-US" w:eastAsia="zh-CN" w:bidi="ar-SA"/>
        </w:rPr>
        <w:t>提升企业创新活力</w:t>
      </w:r>
      <w:r>
        <w:rPr>
          <w:rFonts w:hint="default" w:ascii="Times New Roman" w:hAnsi="Times New Roman" w:cs="Times New Roman"/>
          <w:b w:val="0"/>
          <w:bCs w:val="0"/>
          <w:color w:val="auto"/>
          <w:spacing w:val="0"/>
          <w:kern w:val="2"/>
          <w:sz w:val="32"/>
          <w:szCs w:val="32"/>
          <w:highlight w:val="none"/>
          <w:u w:val="none" w:color="auto"/>
          <w:lang w:val="en-US" w:eastAsia="zh-CN" w:bidi="ar-SA"/>
        </w:rPr>
        <w:t>。强化企业创新主体地位，探索建立科技型中小企业备案制度，积极引导科技型中小企业向高科技、高成长、高质量方向转型发展，持续培育国家高新技术企业，到2030年科技领军企业有所突破，规上高新技术企业的数量增幅大于规上工业企业的数量增幅，科技型中小企业数量年均增长10%左右。实施“全链条创新”工程，围绕现代医药、新材料、新能源、食品加工和机电设备制造等重点</w:t>
      </w:r>
      <w:r>
        <w:rPr>
          <w:rFonts w:hint="default" w:ascii="Times New Roman" w:hAnsi="Times New Roman" w:cs="Times New Roman"/>
          <w:color w:val="auto"/>
          <w:highlight w:val="none"/>
          <w:lang w:val="en-US" w:eastAsia="zh-CN"/>
        </w:rPr>
        <w:t>领域</w:t>
      </w:r>
      <w:r>
        <w:rPr>
          <w:rFonts w:hint="default" w:ascii="Times New Roman" w:hAnsi="Times New Roman" w:cs="Times New Roman"/>
          <w:b w:val="0"/>
          <w:bCs w:val="0"/>
          <w:color w:val="auto"/>
          <w:spacing w:val="0"/>
          <w:kern w:val="2"/>
          <w:sz w:val="32"/>
          <w:szCs w:val="32"/>
          <w:highlight w:val="none"/>
          <w:u w:val="none" w:color="auto"/>
          <w:lang w:val="en-US" w:eastAsia="zh-CN" w:bidi="ar-SA"/>
        </w:rPr>
        <w:t>，着力引进一批研发实力雄厚、科技成果领先的创新型企业。持续提升企业科技创新能力，鼓励骨干企业联合高校、科研院所组建创新联合体</w:t>
      </w:r>
      <w:r>
        <w:rPr>
          <w:rFonts w:hint="eastAsia" w:ascii="Times New Roman" w:hAnsi="Times New Roman" w:cs="Times New Roman"/>
          <w:b w:val="0"/>
          <w:bCs w:val="0"/>
          <w:color w:val="auto"/>
          <w:spacing w:val="0"/>
          <w:kern w:val="2"/>
          <w:sz w:val="32"/>
          <w:szCs w:val="32"/>
          <w:highlight w:val="none"/>
          <w:u w:val="none" w:color="auto"/>
          <w:lang w:val="en-US" w:eastAsia="zh-CN" w:bidi="ar-SA"/>
        </w:rPr>
        <w:t>、</w:t>
      </w:r>
      <w:r>
        <w:rPr>
          <w:rFonts w:hint="default" w:ascii="Times New Roman" w:hAnsi="Times New Roman" w:cs="Times New Roman"/>
          <w:b w:val="0"/>
          <w:bCs w:val="0"/>
          <w:color w:val="auto"/>
          <w:spacing w:val="0"/>
          <w:kern w:val="2"/>
          <w:sz w:val="32"/>
          <w:szCs w:val="32"/>
          <w:highlight w:val="none"/>
          <w:u w:val="none" w:color="auto"/>
          <w:lang w:val="en-US" w:eastAsia="zh-CN" w:bidi="ar-SA"/>
        </w:rPr>
        <w:t>申报省级创新平台，重点推动骨干企业争创省级技术创新中心和市级技术创新中心。探索实施重点领域技术攻关“揭榜挂帅”机制</w:t>
      </w:r>
      <w:r>
        <w:rPr>
          <w:rFonts w:hint="eastAsia" w:ascii="仿宋_GB2312" w:hAnsi="仿宋_GB2312" w:eastAsia="仿宋_GB2312" w:cs="仿宋_GB2312"/>
          <w:b w:val="0"/>
          <w:bCs w:val="0"/>
          <w:color w:val="auto"/>
          <w:spacing w:val="0"/>
          <w:kern w:val="2"/>
          <w:sz w:val="32"/>
          <w:szCs w:val="32"/>
          <w:highlight w:val="none"/>
          <w:u w:val="none" w:color="auto"/>
          <w:lang w:val="en-US" w:eastAsia="zh-CN" w:bidi="ar-SA"/>
        </w:rPr>
        <w:t>，</w:t>
      </w:r>
      <w:r>
        <w:rPr>
          <w:rFonts w:hint="default" w:ascii="Times New Roman" w:hAnsi="Times New Roman" w:cs="Times New Roman"/>
          <w:b w:val="0"/>
          <w:bCs w:val="0"/>
          <w:color w:val="auto"/>
          <w:spacing w:val="0"/>
          <w:kern w:val="2"/>
          <w:sz w:val="32"/>
          <w:szCs w:val="32"/>
          <w:highlight w:val="none"/>
          <w:u w:val="none" w:color="auto"/>
          <w:lang w:val="en-US" w:eastAsia="zh-CN" w:bidi="ar-SA"/>
        </w:rPr>
        <w:t>支持企业开展关键核心技术联合攻坚和科技成果转移转化。</w:t>
      </w:r>
    </w:p>
    <w:p w14:paraId="45A0C7A2">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r>
        <w:rPr>
          <w:rFonts w:hint="default" w:ascii="Times New Roman" w:hAnsi="Times New Roman" w:cs="Times New Roman"/>
          <w:b/>
          <w:bCs/>
          <w:color w:val="auto"/>
          <w:spacing w:val="0"/>
          <w:kern w:val="2"/>
          <w:sz w:val="32"/>
          <w:szCs w:val="32"/>
          <w:highlight w:val="none"/>
          <w:u w:val="none" w:color="auto"/>
          <w:lang w:val="en-US" w:eastAsia="zh-CN" w:bidi="ar-SA"/>
        </w:rPr>
        <w:t>推动高质量成果转化</w:t>
      </w:r>
      <w:r>
        <w:rPr>
          <w:rFonts w:hint="default" w:ascii="Times New Roman" w:hAnsi="Times New Roman" w:cs="Times New Roman"/>
          <w:b w:val="0"/>
          <w:bCs w:val="0"/>
          <w:color w:val="auto"/>
          <w:spacing w:val="0"/>
          <w:kern w:val="2"/>
          <w:sz w:val="32"/>
          <w:szCs w:val="32"/>
          <w:highlight w:val="none"/>
          <w:u w:val="none" w:color="auto"/>
          <w:lang w:val="en-US" w:eastAsia="zh-CN" w:bidi="ar-SA"/>
        </w:rPr>
        <w:t>。完善专业化科技中介服务体系，引进培育一批技术评估、技术交易、技术转移、知识产权、科技金融等专业化科技中介服务机构和市场化技术转化机构。创新科技成果转化对接模式，推广技术成果“先用后付”机制，建立高校专利与企业需求精准匹配数据库，推动优质专利技术向区内企业定向推送、落地应用。持续放大“科技副总”效应，推动创新资源与产业需求深度对接。加快专业化技术经纪（理）人队伍培育，强化成果转化全链条服务能力，全面提升科技成果转化效率和服务效能，促进创新成果加速向现实生产力转化。</w:t>
      </w:r>
    </w:p>
    <w:p w14:paraId="31576C9F">
      <w:pPr>
        <w:pStyle w:val="14"/>
        <w:keepNext w:val="0"/>
        <w:keepLines w:val="0"/>
        <w:pageBreakBefore w:val="0"/>
        <w:widowControl/>
        <w:suppressLineNumbers w:val="0"/>
        <w:shd w:val="clear"/>
        <w:kinsoku/>
        <w:wordWrap/>
        <w:overflowPunct w:val="0"/>
        <w:topLinePunct w:val="0"/>
        <w:autoSpaceDE/>
        <w:autoSpaceDN/>
        <w:bidi w:val="0"/>
        <w:adjustRightInd/>
        <w:snapToGrid/>
        <w:spacing w:before="0" w:beforeAutospacing="0" w:after="0" w:afterAutospacing="0" w:line="240" w:lineRule="auto"/>
        <w:ind w:left="0" w:right="0" w:firstLine="0" w:firstLineChars="0"/>
        <w:jc w:val="center"/>
        <w:textAlignment w:val="auto"/>
        <w:outlineLvl w:val="1"/>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47" w:name="_Toc77867769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加快推动人才强区建设</w:t>
      </w:r>
      <w:bookmarkEnd w:id="47"/>
    </w:p>
    <w:p w14:paraId="6E70A99B">
      <w:pPr>
        <w:spacing w:line="240" w:lineRule="auto"/>
        <w:ind w:firstLine="632" w:firstLineChars="200"/>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坚持“人才是第一资源”的理念，培育壮大创新人才队伍，广纳海内外高层次、创造性优秀人才，以人才优势厚植创新优势、科技优势、产业优势。加强人才引进培育，深入实施“人才兴陶”战略，深化人才链、教育链、产业链、创新链融合发展。持续完善人才工作制度机制，高标准编制人才发展规划，凝聚部门联动合力，提升人才工作效能。加强人才队伍建设，柔性引进一批顶尖人才及创新团队，深化“助企专项人才”引才机制，以人才集聚赋能产业升级。完善人才培养体系，强化高端、青年、技能、企业家等人才储备和梯队建设。提升人才载体支撑能力，畅通高校、企业人才流动共享通道，深化完善科技成果“先用后付”模式，系统构建“产学研用”协同发展的良性创新生态。持续深化“归雁兴陶”活动，以乡情乡谊为纽带，引导在外人才回乡创业、项目回归落地、技术回流转化，为区域发展聚智赋能。优化人才发展环境，提升人才服务和要素保障质效，推进人才友好型城市建设。</w:t>
      </w:r>
    </w:p>
    <w:p w14:paraId="587B1837">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48" w:name="_Toc1605866337"/>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持续优化科技创新生态</w:t>
      </w:r>
      <w:bookmarkEnd w:id="48"/>
    </w:p>
    <w:p w14:paraId="09CF03DB">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r>
        <w:rPr>
          <w:rFonts w:hint="default" w:ascii="Times New Roman" w:hAnsi="Times New Roman" w:cs="Times New Roman"/>
          <w:b w:val="0"/>
          <w:bCs w:val="0"/>
          <w:color w:val="auto"/>
          <w:spacing w:val="0"/>
          <w:kern w:val="2"/>
          <w:sz w:val="32"/>
          <w:szCs w:val="32"/>
          <w:highlight w:val="none"/>
          <w:u w:val="none" w:color="auto"/>
          <w:lang w:val="en-US" w:eastAsia="zh-CN" w:bidi="ar-SA"/>
        </w:rPr>
        <w:t>全面落实国家、省、市出台的科技政策，优化科技创新管理机制，加大科技创新财政支持，完善知识产权保护体系、创新创业生态体系。</w:t>
      </w:r>
    </w:p>
    <w:p w14:paraId="49FB9448">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shd w:val="clear"/>
          <w:lang w:val="en-US" w:eastAsia="zh-CN" w:bidi="ar-SA"/>
        </w:rPr>
      </w:pPr>
      <w:r>
        <w:rPr>
          <w:rFonts w:hint="default" w:ascii="Times New Roman" w:hAnsi="Times New Roman" w:cs="Times New Roman"/>
          <w:b/>
          <w:bCs/>
          <w:color w:val="auto"/>
          <w:spacing w:val="0"/>
          <w:kern w:val="2"/>
          <w:sz w:val="32"/>
          <w:szCs w:val="32"/>
          <w:highlight w:val="none"/>
          <w:u w:val="none" w:color="auto"/>
          <w:lang w:val="en-US" w:eastAsia="zh-CN" w:bidi="ar-SA"/>
        </w:rPr>
        <w:t>完善创新创业体制机制</w:t>
      </w:r>
      <w:r>
        <w:rPr>
          <w:rFonts w:hint="default" w:ascii="Times New Roman" w:hAnsi="Times New Roman" w:cs="Times New Roman"/>
          <w:b w:val="0"/>
          <w:bCs w:val="0"/>
          <w:color w:val="auto"/>
          <w:spacing w:val="0"/>
          <w:kern w:val="2"/>
          <w:sz w:val="32"/>
          <w:szCs w:val="32"/>
          <w:highlight w:val="none"/>
          <w:u w:val="none" w:color="auto"/>
          <w:lang w:val="en-US" w:eastAsia="zh-CN" w:bidi="ar-SA"/>
        </w:rPr>
        <w:t>。坚持政府引导和市场运作有机结合、科技资源和金融资源有效对接，推动产业链、创新链、资金链融合发展。加大金融和场景支持，鼓励开发特色信贷产品，拓宽科技型企业融资渠道。支持初创期创新型企业发展。</w:t>
      </w:r>
      <w:r>
        <w:rPr>
          <w:rFonts w:hint="default" w:ascii="Times New Roman" w:hAnsi="Times New Roman" w:cs="Times New Roman"/>
          <w:b w:val="0"/>
          <w:bCs w:val="0"/>
          <w:color w:val="auto"/>
          <w:spacing w:val="0"/>
          <w:kern w:val="2"/>
          <w:sz w:val="32"/>
          <w:szCs w:val="32"/>
          <w:highlight w:val="none"/>
          <w:u w:val="none" w:color="auto"/>
          <w:shd w:val="clear"/>
          <w:lang w:val="en-US" w:eastAsia="zh-CN" w:bidi="ar-SA"/>
        </w:rPr>
        <w:t>突出市场配置各类创新要素导向作用，积极运用财政后</w:t>
      </w:r>
      <w:r>
        <w:rPr>
          <w:rFonts w:hint="default" w:ascii="Times New Roman" w:hAnsi="Times New Roman" w:cs="Times New Roman"/>
          <w:color w:val="auto"/>
          <w:spacing w:val="0"/>
          <w:sz w:val="32"/>
          <w:highlight w:val="none"/>
          <w:shd w:val="clear"/>
          <w:lang w:val="en-US" w:eastAsia="zh-CN"/>
        </w:rPr>
        <w:t>补助</w:t>
      </w:r>
      <w:r>
        <w:rPr>
          <w:rFonts w:hint="default" w:ascii="Times New Roman" w:hAnsi="Times New Roman" w:cs="Times New Roman"/>
          <w:b w:val="0"/>
          <w:bCs w:val="0"/>
          <w:color w:val="auto"/>
          <w:spacing w:val="0"/>
          <w:kern w:val="2"/>
          <w:sz w:val="32"/>
          <w:szCs w:val="32"/>
          <w:highlight w:val="none"/>
          <w:u w:val="none" w:color="auto"/>
          <w:shd w:val="clear"/>
          <w:lang w:val="en-US" w:eastAsia="zh-CN" w:bidi="ar-SA"/>
        </w:rPr>
        <w:t>、间接投入等，提升财政资金使用效益。</w:t>
      </w:r>
      <w:r>
        <w:rPr>
          <w:rFonts w:hint="eastAsia" w:ascii="Times New Roman" w:hAnsi="Times New Roman" w:cs="Times New Roman"/>
          <w:b w:val="0"/>
          <w:bCs w:val="0"/>
          <w:color w:val="auto"/>
          <w:spacing w:val="0"/>
          <w:kern w:val="2"/>
          <w:sz w:val="32"/>
          <w:szCs w:val="32"/>
          <w:highlight w:val="none"/>
          <w:u w:val="none" w:color="auto"/>
          <w:shd w:val="clear"/>
          <w:lang w:val="en-US" w:eastAsia="zh-CN" w:bidi="ar-SA"/>
        </w:rPr>
        <w:t>鼓励</w:t>
      </w:r>
      <w:r>
        <w:rPr>
          <w:rFonts w:hint="default" w:ascii="Times New Roman" w:hAnsi="Times New Roman" w:cs="Times New Roman"/>
          <w:b w:val="0"/>
          <w:bCs w:val="0"/>
          <w:color w:val="auto"/>
          <w:spacing w:val="0"/>
          <w:kern w:val="2"/>
          <w:sz w:val="32"/>
          <w:szCs w:val="32"/>
          <w:highlight w:val="none"/>
          <w:u w:val="none" w:color="auto"/>
          <w:shd w:val="clear"/>
          <w:lang w:val="en-US" w:eastAsia="zh-CN" w:bidi="ar-SA"/>
        </w:rPr>
        <w:t>企业开展自主研发、设立研发机构</w:t>
      </w:r>
      <w:r>
        <w:rPr>
          <w:rFonts w:hint="eastAsia" w:ascii="Times New Roman" w:hAnsi="Times New Roman" w:cs="Times New Roman"/>
          <w:b w:val="0"/>
          <w:bCs w:val="0"/>
          <w:color w:val="auto"/>
          <w:spacing w:val="0"/>
          <w:kern w:val="2"/>
          <w:sz w:val="32"/>
          <w:szCs w:val="32"/>
          <w:highlight w:val="none"/>
          <w:u w:val="none" w:color="auto"/>
          <w:shd w:val="clear"/>
          <w:lang w:val="en-US" w:eastAsia="zh-CN" w:bidi="ar-SA"/>
        </w:rPr>
        <w:t>，</w:t>
      </w:r>
      <w:r>
        <w:rPr>
          <w:rFonts w:hint="default" w:ascii="Times New Roman" w:hAnsi="Times New Roman" w:cs="Times New Roman"/>
          <w:b w:val="0"/>
          <w:bCs w:val="0"/>
          <w:color w:val="auto"/>
          <w:spacing w:val="0"/>
          <w:kern w:val="2"/>
          <w:sz w:val="32"/>
          <w:szCs w:val="32"/>
          <w:highlight w:val="none"/>
          <w:u w:val="none" w:color="auto"/>
          <w:shd w:val="clear"/>
          <w:lang w:val="en-US" w:eastAsia="zh-CN" w:bidi="ar-SA"/>
        </w:rPr>
        <w:t>对符合条件的“三首”（技术装备及关键核心零部件、首批次新材料、首版次高端软件）产品积极落实省保险补偿机制，推动企业自主创新能力提升。建立完善分类考核体系和灵活聘用制度，持续优化人才激励机制。</w:t>
      </w:r>
    </w:p>
    <w:p w14:paraId="617DC1C7">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r>
        <w:rPr>
          <w:rFonts w:hint="default" w:ascii="Times New Roman" w:hAnsi="Times New Roman" w:cs="Times New Roman"/>
          <w:b/>
          <w:bCs/>
          <w:color w:val="auto"/>
          <w:spacing w:val="0"/>
          <w:kern w:val="2"/>
          <w:sz w:val="32"/>
          <w:szCs w:val="32"/>
          <w:highlight w:val="none"/>
          <w:u w:val="none" w:color="auto"/>
          <w:lang w:val="en-US" w:eastAsia="zh-CN" w:bidi="ar-SA"/>
        </w:rPr>
        <w:t>强化知识产权服务</w:t>
      </w:r>
      <w:r>
        <w:rPr>
          <w:rFonts w:hint="default" w:ascii="Times New Roman" w:hAnsi="Times New Roman" w:cs="Times New Roman"/>
          <w:b w:val="0"/>
          <w:bCs w:val="0"/>
          <w:color w:val="auto"/>
          <w:spacing w:val="0"/>
          <w:kern w:val="2"/>
          <w:sz w:val="32"/>
          <w:szCs w:val="32"/>
          <w:highlight w:val="none"/>
          <w:u w:val="none" w:color="auto"/>
          <w:lang w:val="en-US" w:eastAsia="zh-CN" w:bidi="ar-SA"/>
        </w:rPr>
        <w:t>。构建市场化、法治化、国际化、便利化的知识产权服务体系，推动知识产权服务业高质量发展。完善知识产权公共服务网络，建强各级知识产权公共服务平台，推动数据资源开放共享和跨平台互联互通，提升公共服务智能化、普惠化、可及性水平。培育壮大专业化知识产权服务主体，</w:t>
      </w:r>
      <w:r>
        <w:rPr>
          <w:rFonts w:hint="default" w:ascii="Times New Roman" w:hAnsi="Times New Roman" w:cs="Times New Roman"/>
          <w:b w:val="0"/>
          <w:bCs w:val="0"/>
          <w:color w:val="auto"/>
          <w:spacing w:val="0"/>
          <w:kern w:val="2"/>
          <w:sz w:val="32"/>
          <w:szCs w:val="32"/>
          <w:highlight w:val="none"/>
          <w:u w:val="none" w:color="auto"/>
          <w:shd w:val="clear"/>
          <w:lang w:val="en-US" w:eastAsia="zh-CN" w:bidi="ar-SA"/>
        </w:rPr>
        <w:t>引导服务资源向重点产业集聚</w:t>
      </w:r>
      <w:r>
        <w:rPr>
          <w:rFonts w:hint="default" w:ascii="Times New Roman" w:hAnsi="Times New Roman" w:cs="Times New Roman"/>
          <w:b w:val="0"/>
          <w:bCs w:val="0"/>
          <w:color w:val="auto"/>
          <w:spacing w:val="0"/>
          <w:kern w:val="2"/>
          <w:sz w:val="32"/>
          <w:szCs w:val="32"/>
          <w:highlight w:val="none"/>
          <w:u w:val="none" w:color="auto"/>
          <w:lang w:val="en-US" w:eastAsia="zh-CN" w:bidi="ar-SA"/>
        </w:rPr>
        <w:t>，开展全链条知识产权专业服务，精准对接企业、高校、</w:t>
      </w:r>
      <w:r>
        <w:rPr>
          <w:rFonts w:hint="default" w:ascii="Times New Roman" w:hAnsi="Times New Roman" w:cs="Times New Roman"/>
          <w:color w:val="auto"/>
          <w:spacing w:val="0"/>
          <w:sz w:val="32"/>
          <w:highlight w:val="none"/>
          <w:lang w:val="en-US" w:eastAsia="zh-CN"/>
        </w:rPr>
        <w:t>科研</w:t>
      </w:r>
      <w:r>
        <w:rPr>
          <w:rFonts w:hint="default" w:ascii="Times New Roman" w:hAnsi="Times New Roman" w:cs="Times New Roman"/>
          <w:b w:val="0"/>
          <w:bCs w:val="0"/>
          <w:color w:val="auto"/>
          <w:spacing w:val="0"/>
          <w:kern w:val="2"/>
          <w:sz w:val="32"/>
          <w:szCs w:val="32"/>
          <w:highlight w:val="none"/>
          <w:u w:val="none" w:color="auto"/>
          <w:lang w:val="en-US" w:eastAsia="zh-CN" w:bidi="ar-SA"/>
        </w:rPr>
        <w:t>院所创新需求。深化知识产权服务和金融、产业、贸易深度融合，完善知识产权价值评估、质押融资、交易转化等市场化机制，创新知识产权金融产品和服务模式。加强知识产权服务行业监管，健全信用评价和失信惩戒体系，规范行业发展秩序，营造主体规范、服务优质、竞争有序的知识产权服务生态。</w:t>
      </w:r>
    </w:p>
    <w:p w14:paraId="2EA9F919">
      <w:pPr>
        <w:jc w:val="center"/>
        <w:rPr>
          <w:rFonts w:hint="default" w:ascii="Times New Roman" w:hAnsi="Times New Roman" w:cs="Times New Roman"/>
          <w:b w:val="0"/>
          <w:bCs w:val="0"/>
          <w:color w:val="auto"/>
          <w:spacing w:val="0"/>
          <w:kern w:val="2"/>
          <w:sz w:val="32"/>
          <w:szCs w:val="32"/>
          <w:highlight w:val="none"/>
          <w:u w:val="none" w:color="auto"/>
          <w:lang w:val="en-US" w:eastAsia="zh-CN" w:bidi="ar-SA"/>
        </w:rPr>
      </w:pPr>
    </w:p>
    <w:p w14:paraId="097957BC">
      <w:pPr>
        <w:jc w:val="center"/>
        <w:rPr>
          <w:rFonts w:hint="default" w:ascii="Times New Roman" w:hAnsi="Times New Roman" w:cs="Times New Roman"/>
          <w:b w:val="0"/>
          <w:bCs w:val="0"/>
          <w:color w:val="auto"/>
          <w:spacing w:val="0"/>
          <w:kern w:val="2"/>
          <w:sz w:val="32"/>
          <w:szCs w:val="32"/>
          <w:highlight w:val="none"/>
          <w:u w:val="none" w:color="auto"/>
          <w:lang w:val="en-US" w:eastAsia="zh-CN" w:bidi="ar-SA"/>
        </w:rPr>
      </w:pPr>
    </w:p>
    <w:p w14:paraId="6564099E">
      <w:pPr>
        <w:jc w:val="center"/>
        <w:rPr>
          <w:rFonts w:hint="default" w:ascii="Times New Roman" w:hAnsi="Times New Roman" w:cs="Times New Roman"/>
          <w:b w:val="0"/>
          <w:bCs w:val="0"/>
          <w:color w:val="auto"/>
          <w:spacing w:val="0"/>
          <w:kern w:val="2"/>
          <w:sz w:val="32"/>
          <w:szCs w:val="32"/>
          <w:highlight w:val="none"/>
          <w:u w:val="none" w:color="auto"/>
          <w:lang w:val="en-US" w:eastAsia="zh-CN" w:bidi="ar-SA"/>
        </w:rPr>
      </w:pPr>
    </w:p>
    <w:p w14:paraId="2D1DA0BA">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w:t>
      </w:r>
      <w:r>
        <w:rPr>
          <w:rFonts w:hint="eastAsia" w:ascii="Times New Roman" w:hAnsi="Times New Roman" w:eastAsia="黑体" w:cs="Times New Roman"/>
          <w:color w:val="auto"/>
          <w:spacing w:val="0"/>
          <w:sz w:val="28"/>
          <w:szCs w:val="28"/>
          <w:highlight w:val="none"/>
          <w:u w:val="none" w:color="auto"/>
          <w:lang w:val="en-US" w:eastAsia="zh-CN"/>
        </w:rPr>
        <w:t>5</w:t>
      </w:r>
      <w:r>
        <w:rPr>
          <w:rFonts w:hint="default" w:ascii="Times New Roman" w:hAnsi="Times New Roman" w:eastAsia="黑体" w:cs="Times New Roman"/>
          <w:color w:val="auto"/>
          <w:spacing w:val="0"/>
          <w:sz w:val="28"/>
          <w:szCs w:val="28"/>
          <w:highlight w:val="none"/>
          <w:u w:val="none" w:color="auto"/>
          <w:lang w:val="en-US" w:eastAsia="zh-CN"/>
        </w:rPr>
        <w:t xml:space="preserve"> 提速推进科技创新重点工程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F16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0" w:hRule="atLeast"/>
        </w:trPr>
        <w:tc>
          <w:tcPr>
            <w:tcW w:w="9060" w:type="dxa"/>
            <w:vAlign w:val="center"/>
          </w:tcPr>
          <w:p w14:paraId="48ABCA9B">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仿宋_GB2312" w:cs="Times New Roman"/>
                <w:b w:val="0"/>
                <w:bCs w:val="0"/>
                <w:color w:val="auto"/>
                <w:sz w:val="28"/>
                <w:szCs w:val="28"/>
                <w:highlight w:val="none"/>
                <w:lang w:val="en-US" w:eastAsia="zh-CN"/>
              </w:rPr>
            </w:pPr>
            <w:r>
              <w:rPr>
                <w:rFonts w:hint="eastAsia" w:ascii="Times New Roman" w:hAnsi="Times New Roman" w:cs="Times New Roman"/>
                <w:b w:val="0"/>
                <w:bCs w:val="0"/>
                <w:color w:val="auto"/>
                <w:sz w:val="28"/>
                <w:szCs w:val="28"/>
                <w:highlight w:val="none"/>
                <w:lang w:val="en-US" w:eastAsia="zh-CN"/>
              </w:rPr>
              <w:t>1.</w:t>
            </w:r>
            <w:r>
              <w:rPr>
                <w:rFonts w:hint="default" w:ascii="Times New Roman" w:hAnsi="Times New Roman" w:eastAsia="仿宋_GB2312" w:cs="Times New Roman"/>
                <w:b w:val="0"/>
                <w:bCs w:val="0"/>
                <w:color w:val="auto"/>
                <w:sz w:val="28"/>
                <w:szCs w:val="28"/>
                <w:highlight w:val="none"/>
                <w:lang w:val="en-US" w:eastAsia="zh-CN"/>
              </w:rPr>
              <w:t>年产5000万米纺织面料项目：打造从一根丝到高端面料全流程生产线，同时新上降杆织机生产线，延伸产业链条。</w:t>
            </w:r>
          </w:p>
          <w:p w14:paraId="20B4DC9C">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仿宋_GB2312" w:cs="Times New Roman"/>
                <w:b w:val="0"/>
                <w:bCs w:val="0"/>
                <w:color w:val="auto"/>
                <w:sz w:val="28"/>
                <w:szCs w:val="28"/>
                <w:highlight w:val="none"/>
                <w:lang w:val="en-US" w:eastAsia="zh-CN"/>
              </w:rPr>
            </w:pPr>
            <w:r>
              <w:rPr>
                <w:rFonts w:hint="eastAsia" w:ascii="Times New Roman" w:hAnsi="Times New Roman" w:cs="Times New Roman"/>
                <w:b w:val="0"/>
                <w:bCs w:val="0"/>
                <w:color w:val="auto"/>
                <w:sz w:val="28"/>
                <w:szCs w:val="28"/>
                <w:highlight w:val="none"/>
                <w:lang w:val="en-US" w:eastAsia="zh-CN"/>
              </w:rPr>
              <w:t>2.</w:t>
            </w:r>
            <w:r>
              <w:rPr>
                <w:rFonts w:hint="default" w:ascii="Times New Roman" w:hAnsi="Times New Roman" w:eastAsia="仿宋_GB2312" w:cs="Times New Roman"/>
                <w:b w:val="0"/>
                <w:bCs w:val="0"/>
                <w:color w:val="auto"/>
                <w:sz w:val="28"/>
                <w:szCs w:val="28"/>
                <w:highlight w:val="none"/>
                <w:lang w:val="en-US" w:eastAsia="zh-CN"/>
              </w:rPr>
              <w:t>高导热高屏蔽效能电磁屏蔽膜生产工艺改造项目：开发高端电磁屏蔽膜，满足5G终端需求，拓展高端应用场景。</w:t>
            </w:r>
          </w:p>
          <w:p w14:paraId="284164DD">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仿宋_GB2312" w:cs="Times New Roman"/>
                <w:b w:val="0"/>
                <w:bCs w:val="0"/>
                <w:color w:val="auto"/>
                <w:sz w:val="28"/>
                <w:szCs w:val="28"/>
                <w:highlight w:val="none"/>
                <w:lang w:val="en-US" w:eastAsia="zh-CN"/>
              </w:rPr>
            </w:pPr>
            <w:r>
              <w:rPr>
                <w:rFonts w:hint="eastAsia" w:ascii="Times New Roman" w:hAnsi="Times New Roman" w:cs="Times New Roman"/>
                <w:b w:val="0"/>
                <w:bCs w:val="0"/>
                <w:color w:val="auto"/>
                <w:sz w:val="28"/>
                <w:szCs w:val="28"/>
                <w:highlight w:val="none"/>
                <w:lang w:val="en-US" w:eastAsia="zh-CN"/>
              </w:rPr>
              <w:t>3.</w:t>
            </w:r>
            <w:r>
              <w:rPr>
                <w:rFonts w:hint="default" w:ascii="Times New Roman" w:hAnsi="Times New Roman" w:eastAsia="仿宋_GB2312" w:cs="Times New Roman"/>
                <w:b w:val="0"/>
                <w:bCs w:val="0"/>
                <w:color w:val="auto"/>
                <w:sz w:val="28"/>
                <w:szCs w:val="28"/>
                <w:highlight w:val="none"/>
                <w:lang w:val="en-US" w:eastAsia="zh-CN"/>
              </w:rPr>
              <w:t>年产6500吨高端电子化学品项目：项目主要产品为6G用高速高频覆铜板及电子布用关键电子化学品，突破特种电子级硅烷偶联剂核心技术，提升半导体材料创新能级。</w:t>
            </w:r>
          </w:p>
          <w:p w14:paraId="103C433A">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仿宋_GB2312" w:cs="Times New Roman"/>
                <w:color w:val="auto"/>
                <w:spacing w:val="0"/>
                <w:sz w:val="28"/>
                <w:szCs w:val="28"/>
                <w:highlight w:val="none"/>
                <w:u w:val="none" w:color="auto"/>
                <w:lang w:val="en-US" w:eastAsia="zh-CN"/>
              </w:rPr>
            </w:pPr>
            <w:r>
              <w:rPr>
                <w:rFonts w:hint="eastAsia" w:ascii="Times New Roman" w:hAnsi="Times New Roman" w:cs="Times New Roman"/>
                <w:b w:val="0"/>
                <w:bCs w:val="0"/>
                <w:color w:val="auto"/>
                <w:sz w:val="28"/>
                <w:szCs w:val="28"/>
                <w:highlight w:val="none"/>
                <w:lang w:val="en-US" w:eastAsia="zh-CN"/>
              </w:rPr>
              <w:t>4.</w:t>
            </w:r>
            <w:r>
              <w:rPr>
                <w:rFonts w:hint="default" w:ascii="Times New Roman" w:hAnsi="Times New Roman" w:eastAsia="仿宋_GB2312" w:cs="Times New Roman"/>
                <w:b w:val="0"/>
                <w:bCs w:val="0"/>
                <w:color w:val="auto"/>
                <w:sz w:val="28"/>
                <w:szCs w:val="28"/>
                <w:highlight w:val="none"/>
                <w:lang w:val="en-US" w:eastAsia="zh-CN"/>
              </w:rPr>
              <w:t>年产高效数字化智能环保回转窑生产线100台套项目：通过采用激光切割机下料、机器人自动焊接等技术</w:t>
            </w:r>
            <w:r>
              <w:rPr>
                <w:rFonts w:hint="eastAsia" w:ascii="Times New Roman" w:hAnsi="Times New Roman" w:cs="Times New Roman"/>
                <w:b w:val="0"/>
                <w:bCs w:val="0"/>
                <w:color w:val="auto"/>
                <w:sz w:val="28"/>
                <w:szCs w:val="28"/>
                <w:highlight w:val="none"/>
                <w:lang w:val="en-US" w:eastAsia="zh-CN"/>
              </w:rPr>
              <w:t>，</w:t>
            </w:r>
            <w:r>
              <w:rPr>
                <w:rFonts w:hint="default" w:ascii="Times New Roman" w:hAnsi="Times New Roman" w:eastAsia="仿宋_GB2312" w:cs="Times New Roman"/>
                <w:b w:val="0"/>
                <w:bCs w:val="0"/>
                <w:color w:val="auto"/>
                <w:sz w:val="28"/>
                <w:szCs w:val="28"/>
                <w:highlight w:val="none"/>
                <w:lang w:val="en-US" w:eastAsia="zh-CN"/>
              </w:rPr>
              <w:t>提高设备加工制作精度，利用边角料及购进特种合金元宝铁，延长设备使用寿命，采用集散式远程控制和工业过程视频监控技术对生产</w:t>
            </w:r>
            <w:r>
              <w:rPr>
                <w:rFonts w:hint="default" w:ascii="Times New Roman" w:hAnsi="Times New Roman" w:eastAsia="仿宋_GB2312" w:cs="Times New Roman"/>
                <w:b w:val="0"/>
                <w:bCs w:val="0"/>
                <w:color w:val="auto"/>
                <w:sz w:val="28"/>
                <w:szCs w:val="28"/>
                <w:highlight w:val="none"/>
                <w:shd w:val="clear"/>
                <w:lang w:val="en-US" w:eastAsia="zh-CN"/>
              </w:rPr>
              <w:t>过程全监控</w:t>
            </w:r>
            <w:r>
              <w:rPr>
                <w:rFonts w:hint="default" w:ascii="Times New Roman" w:hAnsi="Times New Roman" w:eastAsia="仿宋_GB2312" w:cs="Times New Roman"/>
                <w:b w:val="0"/>
                <w:bCs w:val="0"/>
                <w:color w:val="auto"/>
                <w:sz w:val="28"/>
                <w:szCs w:val="28"/>
                <w:highlight w:val="none"/>
                <w:lang w:val="en-US" w:eastAsia="zh-CN"/>
              </w:rPr>
              <w:t>。</w:t>
            </w:r>
          </w:p>
        </w:tc>
      </w:tr>
      <w:bookmarkEnd w:id="44"/>
      <w:bookmarkEnd w:id="45"/>
    </w:tbl>
    <w:p w14:paraId="0F3F8AFA">
      <w:pP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49" w:name="_Toc1779631645"/>
      <w:bookmarkStart w:id="50" w:name="_Toc28931"/>
      <w:bookmarkStart w:id="51" w:name="_Toc24370"/>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br w:type="page"/>
      </w:r>
    </w:p>
    <w:p w14:paraId="5BEDC311">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第五章 全面深化改革扩大开放 增强高质量发展内生动力</w:t>
      </w:r>
      <w:bookmarkEnd w:id="49"/>
      <w:bookmarkEnd w:id="50"/>
    </w:p>
    <w:p w14:paraId="42A76BD3">
      <w:pPr>
        <w:ind w:firstLine="632" w:firstLineChars="200"/>
        <w:rPr>
          <w:rFonts w:hint="default"/>
          <w:color w:val="auto"/>
          <w:lang w:val="en-US" w:eastAsia="zh-CN"/>
        </w:rPr>
      </w:pPr>
      <w:r>
        <w:rPr>
          <w:rFonts w:hint="default"/>
          <w:color w:val="auto"/>
          <w:lang w:val="en-US" w:eastAsia="zh-CN"/>
        </w:rPr>
        <w:t>更大力度推进深层次改革、高水平开放，以改革增动力</w:t>
      </w:r>
      <w:r>
        <w:rPr>
          <w:rFonts w:hint="eastAsia"/>
          <w:color w:val="auto"/>
          <w:lang w:val="en-US" w:eastAsia="zh-CN"/>
        </w:rPr>
        <w:t>，</w:t>
      </w:r>
      <w:r>
        <w:rPr>
          <w:rFonts w:hint="default"/>
          <w:color w:val="auto"/>
          <w:lang w:val="en-US" w:eastAsia="zh-CN"/>
        </w:rPr>
        <w:t>以开放添活力，在纵深推进改革开放中塑造制度优势</w:t>
      </w:r>
      <w:r>
        <w:rPr>
          <w:rFonts w:hint="eastAsia"/>
          <w:color w:val="auto"/>
          <w:lang w:val="en-US" w:eastAsia="zh-CN"/>
        </w:rPr>
        <w:t>，</w:t>
      </w:r>
      <w:r>
        <w:rPr>
          <w:rFonts w:hint="default"/>
          <w:color w:val="auto"/>
          <w:lang w:val="en-US" w:eastAsia="zh-CN"/>
        </w:rPr>
        <w:t>集聚优质资源</w:t>
      </w:r>
      <w:r>
        <w:rPr>
          <w:rFonts w:hint="eastAsia"/>
          <w:color w:val="auto"/>
          <w:lang w:val="en-US" w:eastAsia="zh-CN"/>
        </w:rPr>
        <w:t>，</w:t>
      </w:r>
      <w:r>
        <w:rPr>
          <w:rFonts w:hint="default"/>
          <w:color w:val="auto"/>
          <w:lang w:val="en-US" w:eastAsia="zh-CN"/>
        </w:rPr>
        <w:t>增强经济韧性。</w:t>
      </w:r>
    </w:p>
    <w:p w14:paraId="22900C9B">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52" w:name="_Toc1907608403"/>
      <w:bookmarkStart w:id="53" w:name="_Toc31653"/>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深化重点领域改革</w:t>
      </w:r>
      <w:bookmarkEnd w:id="52"/>
      <w:bookmarkEnd w:id="53"/>
    </w:p>
    <w:p w14:paraId="57F77F55">
      <w:pPr>
        <w:shd w:val="clear"/>
        <w:spacing w:line="240" w:lineRule="auto"/>
        <w:ind w:firstLine="632" w:firstLineChars="200"/>
        <w:rPr>
          <w:rFonts w:hint="default" w:ascii="Times New Roman" w:hAnsi="Times New Roman" w:cs="Times New Roman"/>
          <w:color w:val="auto"/>
          <w:kern w:val="2"/>
          <w:szCs w:val="32"/>
          <w:highlight w:val="none"/>
          <w:u w:val="none" w:color="auto"/>
        </w:rPr>
      </w:pPr>
      <w:r>
        <w:rPr>
          <w:rFonts w:hint="default" w:ascii="Times New Roman" w:hAnsi="Times New Roman" w:cs="Times New Roman"/>
          <w:color w:val="auto"/>
          <w:kern w:val="2"/>
          <w:szCs w:val="32"/>
          <w:highlight w:val="none"/>
          <w:u w:val="none" w:color="auto"/>
        </w:rPr>
        <w:t>坚持全面承接上级部署</w:t>
      </w:r>
      <w:r>
        <w:rPr>
          <w:rFonts w:hint="default" w:ascii="Times New Roman" w:hAnsi="Times New Roman" w:cs="Times New Roman"/>
          <w:color w:val="auto"/>
          <w:kern w:val="2"/>
          <w:szCs w:val="32"/>
          <w:highlight w:val="none"/>
          <w:u w:val="none" w:color="auto"/>
          <w:lang w:val="en-US" w:eastAsia="zh-CN"/>
        </w:rPr>
        <w:t>和</w:t>
      </w:r>
      <w:r>
        <w:rPr>
          <w:rFonts w:hint="default" w:ascii="Times New Roman" w:hAnsi="Times New Roman" w:cs="Times New Roman"/>
          <w:color w:val="auto"/>
          <w:kern w:val="2"/>
          <w:szCs w:val="32"/>
          <w:highlight w:val="none"/>
          <w:u w:val="none" w:color="auto"/>
        </w:rPr>
        <w:t>实施特色自主改革相结合，聚焦重点领域和关键环节，健全完善相关体制机制，全面深化事业单位改革，破解深层次体制机制障碍</w:t>
      </w:r>
      <w:r>
        <w:rPr>
          <w:rFonts w:hint="eastAsia" w:ascii="Times New Roman" w:hAnsi="Times New Roman" w:cs="Times New Roman"/>
          <w:color w:val="auto"/>
          <w:kern w:val="2"/>
          <w:szCs w:val="32"/>
          <w:highlight w:val="none"/>
          <w:u w:val="none" w:color="auto"/>
          <w:lang w:eastAsia="zh-CN"/>
        </w:rPr>
        <w:t>，</w:t>
      </w:r>
      <w:r>
        <w:rPr>
          <w:rFonts w:hint="default" w:ascii="Times New Roman" w:hAnsi="Times New Roman" w:cs="Times New Roman"/>
          <w:color w:val="auto"/>
          <w:kern w:val="2"/>
          <w:szCs w:val="32"/>
          <w:highlight w:val="none"/>
          <w:u w:val="none" w:color="auto"/>
        </w:rPr>
        <w:t>提升全要素生产率。</w:t>
      </w:r>
    </w:p>
    <w:p w14:paraId="1BB92223">
      <w:pPr>
        <w:shd w:val="clear"/>
        <w:spacing w:line="240" w:lineRule="auto"/>
        <w:ind w:firstLine="632" w:firstLineChars="200"/>
        <w:rPr>
          <w:rFonts w:hint="default" w:ascii="Times New Roman" w:hAnsi="Times New Roman" w:eastAsia="仿宋_GB2312" w:cs="Times New Roman"/>
          <w:color w:val="auto"/>
          <w:kern w:val="0"/>
          <w:sz w:val="32"/>
          <w:szCs w:val="32"/>
          <w:highlight w:val="none"/>
          <w:u w:val="none" w:color="auto"/>
          <w:lang w:val="en-US" w:eastAsia="zh-CN" w:bidi="ar"/>
        </w:rPr>
      </w:pPr>
      <w:r>
        <w:rPr>
          <w:rFonts w:hint="default" w:ascii="Times New Roman" w:hAnsi="Times New Roman" w:eastAsia="仿宋_GB2312" w:cs="Times New Roman"/>
          <w:b/>
          <w:bCs/>
          <w:color w:val="auto"/>
          <w:kern w:val="0"/>
          <w:sz w:val="32"/>
          <w:szCs w:val="32"/>
          <w:highlight w:val="none"/>
          <w:u w:val="none" w:color="auto"/>
          <w:lang w:val="en-US" w:eastAsia="zh-CN" w:bidi="ar"/>
        </w:rPr>
        <w:t>激发各类市场主体活力</w:t>
      </w:r>
      <w:r>
        <w:rPr>
          <w:rFonts w:hint="default" w:ascii="Times New Roman" w:hAnsi="Times New Roman" w:cs="Times New Roman"/>
          <w:b/>
          <w:bCs/>
          <w:color w:val="auto"/>
          <w:kern w:val="0"/>
          <w:sz w:val="32"/>
          <w:szCs w:val="32"/>
          <w:highlight w:val="none"/>
          <w:u w:val="none" w:color="auto"/>
          <w:lang w:val="en-US" w:eastAsia="zh-CN" w:bidi="ar"/>
        </w:rPr>
        <w:t>。</w:t>
      </w:r>
      <w:r>
        <w:rPr>
          <w:rFonts w:hint="default" w:ascii="Times New Roman" w:hAnsi="Times New Roman" w:cs="Times New Roman"/>
          <w:b w:val="0"/>
          <w:bCs w:val="0"/>
          <w:color w:val="auto"/>
          <w:kern w:val="0"/>
          <w:sz w:val="32"/>
          <w:szCs w:val="32"/>
          <w:highlight w:val="none"/>
          <w:u w:val="none" w:color="auto"/>
          <w:lang w:val="en-US" w:eastAsia="zh-CN" w:bidi="ar"/>
        </w:rPr>
        <w:t>深化区属国企改革，建立健全监管体系，强化区属国企在要素保障、产业培育中的支撑作用，增强国有企业核心功能</w:t>
      </w:r>
      <w:r>
        <w:rPr>
          <w:rFonts w:hint="eastAsia" w:ascii="Times New Roman" w:hAnsi="Times New Roman" w:cs="Times New Roman"/>
          <w:b w:val="0"/>
          <w:bCs w:val="0"/>
          <w:color w:val="auto"/>
          <w:kern w:val="0"/>
          <w:sz w:val="32"/>
          <w:szCs w:val="32"/>
          <w:highlight w:val="none"/>
          <w:u w:val="none" w:color="auto"/>
          <w:lang w:val="en-US" w:eastAsia="zh-CN" w:bidi="ar"/>
        </w:rPr>
        <w:t>，</w:t>
      </w:r>
      <w:r>
        <w:rPr>
          <w:rFonts w:hint="default" w:ascii="Times New Roman" w:hAnsi="Times New Roman" w:cs="Times New Roman"/>
          <w:b w:val="0"/>
          <w:bCs w:val="0"/>
          <w:color w:val="auto"/>
          <w:kern w:val="0"/>
          <w:sz w:val="32"/>
          <w:szCs w:val="32"/>
          <w:highlight w:val="none"/>
          <w:u w:val="none" w:color="auto"/>
          <w:lang w:val="en-US" w:eastAsia="zh-CN" w:bidi="ar"/>
        </w:rPr>
        <w:t>提升核心竞争力。</w:t>
      </w:r>
      <w:r>
        <w:rPr>
          <w:rFonts w:hint="default" w:ascii="Times New Roman" w:hAnsi="Times New Roman" w:cs="Times New Roman"/>
          <w:color w:val="auto"/>
          <w:kern w:val="0"/>
          <w:sz w:val="32"/>
          <w:szCs w:val="32"/>
          <w:highlight w:val="none"/>
          <w:u w:val="none" w:color="auto"/>
          <w:lang w:val="en-US" w:eastAsia="zh-CN" w:bidi="ar"/>
        </w:rPr>
        <w:t>全面激发民营经济市场活力</w:t>
      </w:r>
      <w:r>
        <w:rPr>
          <w:rFonts w:hint="default" w:ascii="Times New Roman" w:hAnsi="Times New Roman" w:eastAsia="仿宋_GB2312" w:cs="Times New Roman"/>
          <w:color w:val="auto"/>
          <w:kern w:val="0"/>
          <w:sz w:val="32"/>
          <w:szCs w:val="32"/>
          <w:highlight w:val="none"/>
          <w:u w:val="none" w:color="auto"/>
          <w:lang w:val="en-US" w:eastAsia="zh-CN" w:bidi="ar"/>
        </w:rPr>
        <w:t>，坚决破除制约民营企业发展壁垒，营造民营企业依法平等使用资源要素、公开</w:t>
      </w:r>
      <w:r>
        <w:rPr>
          <w:rFonts w:hint="default" w:ascii="Times New Roman" w:hAnsi="Times New Roman" w:cs="Times New Roman"/>
          <w:color w:val="auto"/>
          <w:highlight w:val="none"/>
          <w:lang w:val="en-US" w:eastAsia="zh-CN"/>
        </w:rPr>
        <w:t>公平</w:t>
      </w:r>
      <w:r>
        <w:rPr>
          <w:rFonts w:hint="default" w:ascii="Times New Roman" w:hAnsi="Times New Roman" w:eastAsia="仿宋_GB2312" w:cs="Times New Roman"/>
          <w:color w:val="auto"/>
          <w:kern w:val="0"/>
          <w:sz w:val="32"/>
          <w:szCs w:val="32"/>
          <w:highlight w:val="none"/>
          <w:u w:val="none" w:color="auto"/>
          <w:lang w:val="en-US" w:eastAsia="zh-CN" w:bidi="ar"/>
        </w:rPr>
        <w:t>公正参与竞争、同等受到法律保护的市场环境。完善促进中小企业和个体工商户发展政策体系</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健全政企沟通长效机制，促进非公有制经济健康发展，依法平等保护民营企业产权和企业家权益</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加强对民营企业全生命周期服务，引导民营企业建立现代企业制度。</w:t>
      </w:r>
    </w:p>
    <w:p w14:paraId="13B9165F">
      <w:pPr>
        <w:shd w:val="clear"/>
        <w:spacing w:line="240" w:lineRule="auto"/>
        <w:ind w:firstLine="632" w:firstLineChars="200"/>
        <w:rPr>
          <w:rFonts w:hint="default" w:ascii="Times New Roman" w:hAnsi="Times New Roman" w:cs="Times New Roman"/>
          <w:b w:val="0"/>
          <w:bCs w:val="0"/>
          <w:i w:val="0"/>
          <w:iCs w:val="0"/>
          <w:caps w:val="0"/>
          <w:color w:val="auto"/>
          <w:spacing w:val="0"/>
          <w:kern w:val="0"/>
          <w:sz w:val="32"/>
          <w:szCs w:val="32"/>
          <w:highlight w:val="none"/>
          <w:u w:val="none" w:color="auto"/>
          <w:shd w:val="clear"/>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lang w:val="en-US" w:eastAsia="zh-CN" w:bidi="ar"/>
        </w:rPr>
        <w:t>提升要素市场化配置效率</w:t>
      </w:r>
      <w:r>
        <w:rPr>
          <w:rFonts w:hint="default" w:ascii="Times New Roman" w:hAnsi="Times New Roman" w:cs="Times New Roman"/>
          <w:b w:val="0"/>
          <w:bCs w:val="0"/>
          <w:i w:val="0"/>
          <w:iCs w:val="0"/>
          <w:caps w:val="0"/>
          <w:color w:val="auto"/>
          <w:spacing w:val="0"/>
          <w:kern w:val="0"/>
          <w:sz w:val="32"/>
          <w:szCs w:val="32"/>
          <w:highlight w:val="none"/>
          <w:u w:val="none" w:color="auto"/>
          <w:shd w:val="clear"/>
          <w:lang w:val="en-US" w:eastAsia="zh-CN" w:bidi="ar"/>
        </w:rPr>
        <w:t>。全面实施市场准入负面清单制度，健全公平竞争审查机制，推动“非禁即入”普遍落实，在要素获取、准入许可、经营运行、政府采购和招投标等方面对各类所有制企业平等对待。探索培育数据要素市场，探索构建农业、工业、交通、教育、安防、城市管理、公共资源交易等领域政企数据的共享利用场景。探索建立数据确权、数据定价和市场监管机制，强化数据安全保护。深化土地、水、碳指标等要素市场化改革，积极配合国家货币政策导向，确保宏观金融政策精准直达实体经济，加大对重点领域信贷支持。</w:t>
      </w:r>
    </w:p>
    <w:p w14:paraId="237CC4AB">
      <w:pPr>
        <w:shd w:val="clear"/>
        <w:spacing w:line="240" w:lineRule="auto"/>
        <w:ind w:firstLine="632" w:firstLineChars="200"/>
        <w:rPr>
          <w:rFonts w:hint="default" w:ascii="Times New Roman" w:hAnsi="Times New Roman" w:cs="Times New Roman"/>
          <w:color w:val="auto"/>
          <w:kern w:val="0"/>
          <w:szCs w:val="32"/>
          <w:highlight w:val="none"/>
          <w:u w:val="none" w:color="auto"/>
          <w:lang w:bidi="ar"/>
        </w:rPr>
      </w:pPr>
      <w:r>
        <w:rPr>
          <w:rFonts w:hint="default" w:ascii="Times New Roman" w:hAnsi="Times New Roman" w:cs="Times New Roman"/>
          <w:b/>
          <w:bCs/>
          <w:color w:val="auto"/>
          <w:kern w:val="0"/>
          <w:szCs w:val="32"/>
          <w:highlight w:val="none"/>
          <w:u w:val="none" w:color="auto"/>
          <w:lang w:val="en-US" w:eastAsia="zh-CN" w:bidi="ar"/>
        </w:rPr>
        <w:t>落实</w:t>
      </w:r>
      <w:r>
        <w:rPr>
          <w:rFonts w:hint="default" w:ascii="Times New Roman" w:hAnsi="Times New Roman" w:cs="Times New Roman"/>
          <w:b/>
          <w:bCs/>
          <w:color w:val="auto"/>
          <w:kern w:val="0"/>
          <w:szCs w:val="32"/>
          <w:highlight w:val="none"/>
          <w:u w:val="none" w:color="auto"/>
          <w:lang w:bidi="ar"/>
        </w:rPr>
        <w:t>地方财税金融改革</w:t>
      </w:r>
      <w:r>
        <w:rPr>
          <w:rFonts w:hint="default" w:ascii="Times New Roman" w:hAnsi="Times New Roman" w:cs="Times New Roman"/>
          <w:color w:val="auto"/>
          <w:kern w:val="0"/>
          <w:szCs w:val="32"/>
          <w:highlight w:val="none"/>
          <w:u w:val="none" w:color="auto"/>
          <w:lang w:bidi="ar"/>
        </w:rPr>
        <w:t>。</w:t>
      </w:r>
      <w:r>
        <w:rPr>
          <w:rFonts w:hint="default" w:ascii="Times New Roman" w:hAnsi="Times New Roman" w:cs="Times New Roman"/>
          <w:color w:val="auto"/>
          <w:kern w:val="0"/>
          <w:sz w:val="32"/>
          <w:szCs w:val="32"/>
          <w:highlight w:val="none"/>
          <w:u w:val="none" w:color="auto"/>
          <w:lang w:val="en-US" w:eastAsia="zh-CN" w:bidi="ar"/>
        </w:rPr>
        <w:t>强化财政资源统筹，加强中期财政规划管理，切实增强对全区重大任务、重大项目、重大改革、重大工程的财力保障。优化财政收入分配格局，调动镇街积极性，配合上级平稳推进</w:t>
      </w:r>
      <w:r>
        <w:rPr>
          <w:rFonts w:hint="default" w:ascii="Times New Roman" w:hAnsi="Times New Roman" w:cs="Times New Roman"/>
          <w:color w:val="auto"/>
          <w:highlight w:val="none"/>
          <w:lang w:val="en-US" w:eastAsia="zh-CN"/>
        </w:rPr>
        <w:t>税制</w:t>
      </w:r>
      <w:r>
        <w:rPr>
          <w:rFonts w:hint="default" w:ascii="Times New Roman" w:hAnsi="Times New Roman" w:cs="Times New Roman"/>
          <w:color w:val="auto"/>
          <w:kern w:val="0"/>
          <w:sz w:val="32"/>
          <w:szCs w:val="32"/>
          <w:highlight w:val="none"/>
          <w:u w:val="none" w:color="auto"/>
          <w:lang w:val="en-US" w:eastAsia="zh-CN" w:bidi="ar"/>
        </w:rPr>
        <w:t>改革，深化税收征管制度改革，加强税源培育与建设，不断优化财税结构。全面实施零基预算改革，对接落实事权和财权划分相关政策，集聚更多资金用于发展紧要环节和民生急需领域。健全政府债务管理制度。构建金融有效支持实体经济的体制机制，引导金融资本重点投向制造业和中小微企业，更好发挥政府产业基金的撬动作用，提升国有金融资本投资运营水平，强化对实体经济、科技创新和战略项目的金融保障。</w:t>
      </w:r>
    </w:p>
    <w:p w14:paraId="2E74A8AA">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54" w:name="_Toc16578"/>
      <w:bookmarkStart w:id="55" w:name="_Toc1972283677"/>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打造一流营商环境</w:t>
      </w:r>
      <w:bookmarkEnd w:id="54"/>
      <w:bookmarkEnd w:id="55"/>
    </w:p>
    <w:p w14:paraId="7CD95844">
      <w:pPr>
        <w:shd w:val="clear"/>
        <w:spacing w:line="240" w:lineRule="auto"/>
        <w:ind w:firstLine="632" w:firstLineChars="200"/>
        <w:rPr>
          <w:rFonts w:hint="default" w:ascii="Times New Roman" w:hAnsi="Times New Roman" w:eastAsia="仿宋_GB2312" w:cs="Times New Roman"/>
          <w:b w:val="0"/>
          <w:bCs w:val="0"/>
          <w:color w:val="auto"/>
          <w:kern w:val="0"/>
          <w:sz w:val="32"/>
          <w:szCs w:val="32"/>
          <w:highlight w:val="none"/>
          <w:u w:val="none" w:color="auto"/>
          <w:lang w:val="en-US" w:eastAsia="zh-CN" w:bidi="ar"/>
        </w:rPr>
      </w:pPr>
      <w:r>
        <w:rPr>
          <w:rFonts w:hint="default" w:ascii="Times New Roman" w:hAnsi="Times New Roman" w:eastAsia="仿宋_GB2312" w:cs="Times New Roman"/>
          <w:b w:val="0"/>
          <w:bCs w:val="0"/>
          <w:color w:val="auto"/>
          <w:kern w:val="0"/>
          <w:sz w:val="32"/>
          <w:szCs w:val="32"/>
          <w:highlight w:val="none"/>
          <w:u w:val="none" w:color="auto"/>
          <w:lang w:val="en-US" w:eastAsia="zh-CN" w:bidi="ar"/>
        </w:rPr>
        <w:t>深化营商环境创新提升行动，着力为市场主体创新营造稳定、公平、透明、可预期的</w:t>
      </w:r>
      <w:r>
        <w:rPr>
          <w:rFonts w:hint="default" w:ascii="Times New Roman" w:hAnsi="Times New Roman" w:cs="Times New Roman"/>
          <w:color w:val="auto"/>
          <w:highlight w:val="none"/>
          <w:lang w:val="en-US" w:eastAsia="zh-CN"/>
        </w:rPr>
        <w:t>发展</w:t>
      </w:r>
      <w:r>
        <w:rPr>
          <w:rFonts w:hint="default" w:ascii="Times New Roman" w:hAnsi="Times New Roman" w:eastAsia="仿宋_GB2312" w:cs="Times New Roman"/>
          <w:b w:val="0"/>
          <w:bCs w:val="0"/>
          <w:color w:val="auto"/>
          <w:kern w:val="0"/>
          <w:sz w:val="32"/>
          <w:szCs w:val="32"/>
          <w:highlight w:val="none"/>
          <w:u w:val="none" w:color="auto"/>
          <w:lang w:val="en-US" w:eastAsia="zh-CN" w:bidi="ar"/>
        </w:rPr>
        <w:t>环境，激发各类经营主体活力。</w:t>
      </w:r>
    </w:p>
    <w:p w14:paraId="63314493">
      <w:pPr>
        <w:shd w:val="clear"/>
        <w:spacing w:line="240" w:lineRule="auto"/>
        <w:ind w:firstLine="632" w:firstLineChars="200"/>
        <w:rPr>
          <w:rFonts w:hint="default" w:ascii="Times New Roman" w:hAnsi="Times New Roman" w:eastAsia="仿宋_GB2312" w:cs="Times New Roman"/>
          <w:b w:val="0"/>
          <w:bCs w:val="0"/>
          <w:color w:val="auto"/>
          <w:kern w:val="0"/>
          <w:sz w:val="32"/>
          <w:szCs w:val="32"/>
          <w:highlight w:val="none"/>
          <w:u w:val="none" w:color="auto"/>
          <w:lang w:val="en-US" w:eastAsia="zh-CN" w:bidi="ar"/>
        </w:rPr>
      </w:pPr>
      <w:r>
        <w:rPr>
          <w:rFonts w:hint="default" w:ascii="Times New Roman" w:hAnsi="Times New Roman" w:eastAsia="仿宋_GB2312" w:cs="Times New Roman"/>
          <w:b/>
          <w:bCs/>
          <w:color w:val="auto"/>
          <w:kern w:val="0"/>
          <w:sz w:val="32"/>
          <w:szCs w:val="32"/>
          <w:highlight w:val="none"/>
          <w:u w:val="none" w:color="auto"/>
          <w:lang w:val="en-US" w:eastAsia="zh-CN" w:bidi="ar"/>
        </w:rPr>
        <w:t>推进政务服务集成创新。</w:t>
      </w:r>
      <w:r>
        <w:rPr>
          <w:rFonts w:hint="default" w:ascii="Times New Roman" w:hAnsi="Times New Roman" w:eastAsia="仿宋_GB2312" w:cs="Times New Roman"/>
          <w:b w:val="0"/>
          <w:bCs w:val="0"/>
          <w:color w:val="auto"/>
          <w:kern w:val="0"/>
          <w:sz w:val="32"/>
          <w:szCs w:val="32"/>
          <w:highlight w:val="none"/>
          <w:u w:val="none" w:color="auto"/>
          <w:lang w:val="en-US" w:eastAsia="zh-CN" w:bidi="ar"/>
        </w:rPr>
        <w:t>把“高效办成一件事”作为优化政务服务、提升行政效能的重要抓手，持续优化“一门、一网、一线”政务服务渠道。强化线上线下联动，推动更多事项集成办、承诺办、跨域办、免申办。扎实推进数字政府建设，突出改革引领和数智赋能双轮驱动，强化数字政府基础平台公共支撑能力，深入推进数据汇聚共享，全面提升政务服务水平和数字化治理能力。推动政务服务扩面增效。健全线上线下帮办代办体系，拓展增值服务内容，最大限度利企便民。</w:t>
      </w:r>
    </w:p>
    <w:p w14:paraId="23161B8C">
      <w:pPr>
        <w:shd w:val="clear"/>
        <w:spacing w:line="240" w:lineRule="auto"/>
        <w:ind w:firstLine="632" w:firstLineChars="200"/>
        <w:rPr>
          <w:rFonts w:hint="default" w:ascii="Times New Roman" w:hAnsi="Times New Roman" w:eastAsia="仿宋_GB2312" w:cs="Times New Roman"/>
          <w:b w:val="0"/>
          <w:bCs w:val="0"/>
          <w:color w:val="auto"/>
          <w:kern w:val="0"/>
          <w:sz w:val="32"/>
          <w:szCs w:val="32"/>
          <w:highlight w:val="none"/>
          <w:u w:val="none" w:color="auto"/>
          <w:lang w:val="en-US" w:eastAsia="zh-CN" w:bidi="ar"/>
        </w:rPr>
      </w:pPr>
      <w:r>
        <w:rPr>
          <w:rFonts w:hint="default" w:ascii="Times New Roman" w:hAnsi="Times New Roman" w:eastAsia="仿宋_GB2312" w:cs="Times New Roman"/>
          <w:b/>
          <w:bCs/>
          <w:color w:val="auto"/>
          <w:kern w:val="0"/>
          <w:sz w:val="32"/>
          <w:szCs w:val="32"/>
          <w:highlight w:val="none"/>
          <w:u w:val="none" w:color="auto"/>
          <w:lang w:val="en-US" w:eastAsia="zh-CN" w:bidi="ar"/>
        </w:rPr>
        <w:t>强化惠企服务精准度。</w:t>
      </w:r>
      <w:r>
        <w:rPr>
          <w:rFonts w:hint="default" w:ascii="Times New Roman" w:hAnsi="Times New Roman" w:eastAsia="仿宋_GB2312" w:cs="Times New Roman"/>
          <w:b w:val="0"/>
          <w:bCs w:val="0"/>
          <w:color w:val="auto"/>
          <w:kern w:val="0"/>
          <w:sz w:val="32"/>
          <w:szCs w:val="32"/>
          <w:highlight w:val="none"/>
          <w:u w:val="none" w:color="auto"/>
          <w:lang w:val="en-US" w:eastAsia="zh-CN" w:bidi="ar"/>
        </w:rPr>
        <w:t>优化完善“参谋式、伙伴式”服务模式，用好重点项目领办负责制、数字化诊断等措施，精准适配产业链与创新链需求，为企业提供覆盖全生命周期的服务。推进惠企政策“免申即享”“直达快享”，简化申报流程</w:t>
      </w:r>
      <w:r>
        <w:rPr>
          <w:rFonts w:hint="eastAsia" w:ascii="Times New Roman" w:hAnsi="Times New Roman" w:cs="Times New Roman"/>
          <w:b w:val="0"/>
          <w:bCs w:val="0"/>
          <w:color w:val="auto"/>
          <w:kern w:val="0"/>
          <w:sz w:val="32"/>
          <w:szCs w:val="32"/>
          <w:highlight w:val="none"/>
          <w:u w:val="none" w:color="auto"/>
          <w:lang w:val="en-US" w:eastAsia="zh-CN" w:bidi="ar"/>
        </w:rPr>
        <w:t>，</w:t>
      </w:r>
      <w:r>
        <w:rPr>
          <w:rFonts w:hint="default" w:ascii="Times New Roman" w:hAnsi="Times New Roman" w:eastAsia="仿宋_GB2312" w:cs="Times New Roman"/>
          <w:b w:val="0"/>
          <w:bCs w:val="0"/>
          <w:color w:val="auto"/>
          <w:kern w:val="0"/>
          <w:sz w:val="32"/>
          <w:szCs w:val="32"/>
          <w:highlight w:val="none"/>
          <w:u w:val="none" w:color="auto"/>
          <w:lang w:val="en-US" w:eastAsia="zh-CN" w:bidi="ar"/>
        </w:rPr>
        <w:t>压缩兑现时限，确保税费减免、融资支持、稳岗补贴等政策精准滴灌市场主体。塑强特色服务品牌，深入推进“民事无忧</w:t>
      </w:r>
      <w:r>
        <w:rPr>
          <w:rFonts w:hint="default" w:ascii="Times New Roman" w:hAnsi="Times New Roman" w:cs="Times New Roman"/>
          <w:b w:val="0"/>
          <w:bCs w:val="0"/>
          <w:color w:val="auto"/>
          <w:kern w:val="0"/>
          <w:sz w:val="32"/>
          <w:szCs w:val="32"/>
          <w:highlight w:val="none"/>
          <w:u w:val="none" w:color="auto"/>
          <w:lang w:val="en-US" w:eastAsia="zh-CN" w:bidi="ar"/>
        </w:rPr>
        <w:t xml:space="preserve"> </w:t>
      </w:r>
      <w:r>
        <w:rPr>
          <w:rFonts w:hint="default" w:ascii="Times New Roman" w:hAnsi="Times New Roman" w:eastAsia="仿宋_GB2312" w:cs="Times New Roman"/>
          <w:b w:val="0"/>
          <w:bCs w:val="0"/>
          <w:color w:val="auto"/>
          <w:kern w:val="0"/>
          <w:sz w:val="32"/>
          <w:szCs w:val="32"/>
          <w:highlight w:val="none"/>
          <w:u w:val="none" w:color="auto"/>
          <w:lang w:val="en-US" w:eastAsia="zh-CN" w:bidi="ar"/>
        </w:rPr>
        <w:t>企事有解</w:t>
      </w:r>
      <w:r>
        <w:rPr>
          <w:rFonts w:hint="default" w:ascii="Times New Roman" w:hAnsi="Times New Roman" w:cs="Times New Roman"/>
          <w:b w:val="0"/>
          <w:bCs w:val="0"/>
          <w:color w:val="auto"/>
          <w:kern w:val="0"/>
          <w:sz w:val="32"/>
          <w:szCs w:val="32"/>
          <w:highlight w:val="none"/>
          <w:u w:val="none" w:color="auto"/>
          <w:lang w:val="en-US" w:eastAsia="zh-CN" w:bidi="ar"/>
        </w:rPr>
        <w:t xml:space="preserve"> </w:t>
      </w:r>
      <w:r>
        <w:rPr>
          <w:rFonts w:hint="default" w:ascii="Times New Roman" w:hAnsi="Times New Roman" w:eastAsia="仿宋_GB2312" w:cs="Times New Roman"/>
          <w:b w:val="0"/>
          <w:bCs w:val="0"/>
          <w:color w:val="auto"/>
          <w:kern w:val="0"/>
          <w:sz w:val="32"/>
          <w:szCs w:val="32"/>
          <w:highlight w:val="none"/>
          <w:u w:val="none" w:color="auto"/>
          <w:lang w:val="en-US" w:eastAsia="zh-CN" w:bidi="ar"/>
        </w:rPr>
        <w:t>政事高效”服务品牌建设，建立企业诉求“接诉即办、闭环管理”机制，完善企业服务专窗功能，为企业提供政策咨询、问题协调、诉求办理全流程服务。</w:t>
      </w:r>
    </w:p>
    <w:p w14:paraId="2D55C50D">
      <w:pPr>
        <w:shd w:val="clear"/>
        <w:spacing w:line="240" w:lineRule="auto"/>
        <w:ind w:firstLine="632" w:firstLineChars="200"/>
        <w:rPr>
          <w:rFonts w:hint="default" w:ascii="Times New Roman" w:hAnsi="Times New Roman" w:eastAsia="仿宋_GB2312" w:cs="Times New Roman"/>
          <w:color w:val="auto"/>
          <w:kern w:val="0"/>
          <w:sz w:val="32"/>
          <w:szCs w:val="32"/>
          <w:highlight w:val="none"/>
          <w:u w:val="none" w:color="auto"/>
          <w:lang w:val="en-US" w:eastAsia="zh-CN" w:bidi="ar"/>
        </w:rPr>
      </w:pPr>
      <w:r>
        <w:rPr>
          <w:rFonts w:hint="default" w:ascii="Times New Roman" w:hAnsi="Times New Roman" w:eastAsia="仿宋_GB2312" w:cs="Times New Roman"/>
          <w:b/>
          <w:bCs/>
          <w:color w:val="auto"/>
          <w:kern w:val="0"/>
          <w:sz w:val="32"/>
          <w:szCs w:val="32"/>
          <w:highlight w:val="none"/>
          <w:u w:val="none" w:color="auto"/>
          <w:lang w:val="en-US" w:eastAsia="zh-CN" w:bidi="ar"/>
        </w:rPr>
        <w:t>健全社会信用体系。</w:t>
      </w:r>
      <w:r>
        <w:rPr>
          <w:rFonts w:hint="default" w:ascii="Times New Roman" w:hAnsi="Times New Roman" w:eastAsia="仿宋_GB2312" w:cs="Times New Roman"/>
          <w:color w:val="auto"/>
          <w:kern w:val="0"/>
          <w:sz w:val="32"/>
          <w:szCs w:val="32"/>
          <w:highlight w:val="none"/>
          <w:u w:val="none" w:color="auto"/>
          <w:lang w:val="en-US" w:eastAsia="zh-CN" w:bidi="ar"/>
        </w:rPr>
        <w:t>加快社会组织信用建设，强化信用信息管理共享公开与监管，引导诚信自律</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推动行业协会</w:t>
      </w:r>
      <w:r>
        <w:rPr>
          <w:rFonts w:hint="eastAsia"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商会规范信用评价</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强化司法执法体系信用建设，提升司法公信力，建立执法人员信用记录与承诺制度，提高虚假诉讼失信成本，规范失信被执行人认定与惩戒</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深化信用分级分类监管，推广信用承诺制度，构建“公共信用</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行业信用”企业评价体系，在重点领域实施差异化监管</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推广“信易贷”，优化融资信用服务平台，完善普惠融资体系，</w:t>
      </w:r>
      <w:r>
        <w:rPr>
          <w:rFonts w:hint="default" w:ascii="Times New Roman" w:hAnsi="Times New Roman" w:cs="Times New Roman"/>
          <w:color w:val="auto"/>
          <w:kern w:val="0"/>
          <w:sz w:val="32"/>
          <w:szCs w:val="32"/>
          <w:highlight w:val="none"/>
          <w:u w:val="none" w:color="auto"/>
          <w:lang w:val="en-US" w:eastAsia="zh-CN" w:bidi="ar"/>
        </w:rPr>
        <w:t>更好地</w:t>
      </w:r>
      <w:r>
        <w:rPr>
          <w:rFonts w:hint="default" w:ascii="Times New Roman" w:hAnsi="Times New Roman" w:eastAsia="仿宋_GB2312" w:cs="Times New Roman"/>
          <w:color w:val="auto"/>
          <w:kern w:val="0"/>
          <w:sz w:val="32"/>
          <w:szCs w:val="32"/>
          <w:highlight w:val="none"/>
          <w:u w:val="none" w:color="auto"/>
          <w:lang w:val="en-US" w:eastAsia="zh-CN" w:bidi="ar"/>
        </w:rPr>
        <w:t>服务中小微企业。</w:t>
      </w:r>
    </w:p>
    <w:p w14:paraId="7962A9B9">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56" w:name="_Toc715414796"/>
      <w:bookmarkStart w:id="57" w:name="_Toc27088"/>
    </w:p>
    <w:p w14:paraId="3B71EB07">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建设高水平开放型经济</w:t>
      </w:r>
      <w:bookmarkEnd w:id="56"/>
    </w:p>
    <w:p w14:paraId="29D455E9">
      <w:pPr>
        <w:shd w:val="clear"/>
        <w:spacing w:line="240" w:lineRule="auto"/>
        <w:ind w:firstLine="632" w:firstLineChars="200"/>
        <w:rPr>
          <w:rFonts w:hint="default" w:ascii="Times New Roman" w:hAnsi="Times New Roman" w:eastAsia="仿宋_GB2312" w:cs="Times New Roman"/>
          <w:b w:val="0"/>
          <w:bCs w:val="0"/>
          <w:i w:val="0"/>
          <w:iCs w:val="0"/>
          <w:caps w:val="0"/>
          <w:color w:val="auto"/>
          <w:spacing w:val="0"/>
          <w:sz w:val="32"/>
          <w:szCs w:val="32"/>
          <w:highlight w:val="none"/>
          <w:u w:val="none" w:color="auto"/>
          <w:shd w:val="clear"/>
          <w:lang w:val="en-US" w:eastAsia="zh-CN"/>
        </w:rPr>
      </w:pPr>
      <w:r>
        <w:rPr>
          <w:rFonts w:hint="default" w:ascii="Times New Roman" w:hAnsi="Times New Roman" w:eastAsia="仿宋_GB2312" w:cs="Times New Roman"/>
          <w:color w:val="auto"/>
          <w:sz w:val="32"/>
          <w:szCs w:val="32"/>
          <w:highlight w:val="none"/>
          <w:u w:val="none" w:color="auto"/>
          <w:lang w:val="en-US" w:eastAsia="zh-CN"/>
        </w:rPr>
        <w:t>坚持</w:t>
      </w:r>
      <w:r>
        <w:rPr>
          <w:rFonts w:hint="default" w:ascii="Times New Roman" w:hAnsi="Times New Roman" w:eastAsia="仿宋_GB2312" w:cs="Times New Roman"/>
          <w:color w:val="auto"/>
          <w:sz w:val="32"/>
          <w:szCs w:val="32"/>
          <w:highlight w:val="none"/>
          <w:u w:val="none" w:color="auto"/>
          <w:lang w:eastAsia="zh-CN"/>
        </w:rPr>
        <w:t>开放合作，</w:t>
      </w:r>
      <w:r>
        <w:rPr>
          <w:rFonts w:hint="default" w:ascii="Times New Roman" w:hAnsi="Times New Roman" w:eastAsia="仿宋_GB2312" w:cs="Times New Roman"/>
          <w:color w:val="auto"/>
          <w:sz w:val="32"/>
          <w:szCs w:val="32"/>
          <w:highlight w:val="none"/>
          <w:u w:val="none" w:color="auto"/>
          <w:lang w:val="en-US" w:eastAsia="zh-CN"/>
        </w:rPr>
        <w:t>深化</w:t>
      </w:r>
      <w:r>
        <w:rPr>
          <w:rFonts w:hint="default" w:ascii="Times New Roman" w:hAnsi="Times New Roman" w:eastAsia="仿宋_GB2312" w:cs="Times New Roman"/>
          <w:color w:val="auto"/>
          <w:sz w:val="32"/>
          <w:szCs w:val="32"/>
          <w:highlight w:val="none"/>
          <w:u w:val="none" w:color="auto"/>
          <w:lang w:eastAsia="zh-CN"/>
        </w:rPr>
        <w:t>制度创新，积极对接国家</w:t>
      </w:r>
      <w:r>
        <w:rPr>
          <w:rFonts w:hint="default" w:ascii="Times New Roman" w:hAnsi="Times New Roman"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eastAsia="zh-CN"/>
        </w:rPr>
        <w:t>省高水平开放</w:t>
      </w:r>
      <w:r>
        <w:rPr>
          <w:rFonts w:hint="default" w:ascii="Times New Roman" w:hAnsi="Times New Roman" w:eastAsia="仿宋_GB2312" w:cs="Times New Roman"/>
          <w:color w:val="auto"/>
          <w:sz w:val="32"/>
          <w:szCs w:val="32"/>
          <w:highlight w:val="none"/>
          <w:u w:val="none" w:color="auto"/>
          <w:lang w:val="en-US" w:eastAsia="zh-CN"/>
        </w:rPr>
        <w:t>重大</w:t>
      </w:r>
      <w:r>
        <w:rPr>
          <w:rFonts w:hint="default" w:ascii="Times New Roman" w:hAnsi="Times New Roman" w:eastAsia="仿宋_GB2312" w:cs="Times New Roman"/>
          <w:color w:val="auto"/>
          <w:sz w:val="32"/>
          <w:szCs w:val="32"/>
          <w:highlight w:val="none"/>
          <w:u w:val="none" w:color="auto"/>
          <w:lang w:eastAsia="zh-CN"/>
        </w:rPr>
        <w:t>战略，</w:t>
      </w:r>
      <w:r>
        <w:rPr>
          <w:rFonts w:hint="default" w:ascii="Times New Roman" w:hAnsi="Times New Roman" w:eastAsia="仿宋_GB2312" w:cs="Times New Roman"/>
          <w:color w:val="auto"/>
          <w:sz w:val="32"/>
          <w:szCs w:val="32"/>
          <w:highlight w:val="none"/>
          <w:u w:val="none" w:color="auto"/>
          <w:lang w:val="en-US" w:eastAsia="zh-CN"/>
        </w:rPr>
        <w:t>着力构建富有韧性、充满活力、更具竞争力的县域开放型经济新体制</w:t>
      </w:r>
      <w:r>
        <w:rPr>
          <w:rFonts w:hint="default" w:ascii="Times New Roman" w:hAnsi="Times New Roman" w:eastAsia="仿宋_GB2312" w:cs="Times New Roman"/>
          <w:color w:val="auto"/>
          <w:sz w:val="32"/>
          <w:szCs w:val="32"/>
          <w:highlight w:val="none"/>
          <w:u w:val="none" w:color="auto"/>
          <w:lang w:eastAsia="zh-CN"/>
        </w:rPr>
        <w:t>，为县域高质量发展</w:t>
      </w:r>
      <w:r>
        <w:rPr>
          <w:rFonts w:hint="default" w:ascii="Times New Roman" w:hAnsi="Times New Roman" w:eastAsia="仿宋_GB2312" w:cs="Times New Roman"/>
          <w:color w:val="auto"/>
          <w:sz w:val="32"/>
          <w:szCs w:val="32"/>
          <w:highlight w:val="none"/>
          <w:u w:val="none" w:color="auto"/>
          <w:lang w:val="en-US" w:eastAsia="zh-CN"/>
        </w:rPr>
        <w:t>拓展</w:t>
      </w:r>
      <w:r>
        <w:rPr>
          <w:rFonts w:hint="default" w:ascii="Times New Roman" w:hAnsi="Times New Roman" w:eastAsia="仿宋_GB2312" w:cs="Times New Roman"/>
          <w:color w:val="auto"/>
          <w:sz w:val="32"/>
          <w:szCs w:val="32"/>
          <w:highlight w:val="none"/>
          <w:u w:val="none" w:color="auto"/>
          <w:lang w:eastAsia="zh-CN"/>
        </w:rPr>
        <w:t>新空间、</w:t>
      </w:r>
      <w:r>
        <w:rPr>
          <w:rFonts w:hint="default" w:ascii="Times New Roman" w:hAnsi="Times New Roman" w:eastAsia="仿宋_GB2312" w:cs="Times New Roman"/>
          <w:color w:val="auto"/>
          <w:sz w:val="32"/>
          <w:szCs w:val="32"/>
          <w:highlight w:val="none"/>
          <w:u w:val="none" w:color="auto"/>
          <w:lang w:val="en-US" w:eastAsia="zh-CN"/>
        </w:rPr>
        <w:t>汇聚</w:t>
      </w:r>
      <w:r>
        <w:rPr>
          <w:rFonts w:hint="default" w:ascii="Times New Roman" w:hAnsi="Times New Roman" w:eastAsia="仿宋_GB2312" w:cs="Times New Roman"/>
          <w:color w:val="auto"/>
          <w:sz w:val="32"/>
          <w:szCs w:val="32"/>
          <w:highlight w:val="none"/>
          <w:u w:val="none" w:color="auto"/>
          <w:lang w:eastAsia="zh-CN"/>
        </w:rPr>
        <w:t>新动能。</w:t>
      </w:r>
    </w:p>
    <w:p w14:paraId="4908CA24">
      <w:pPr>
        <w:shd w:val="clear"/>
        <w:spacing w:line="240" w:lineRule="auto"/>
        <w:ind w:firstLine="632" w:firstLineChars="200"/>
        <w:rPr>
          <w:rFonts w:hint="default" w:ascii="Times New Roman" w:hAnsi="Times New Roman" w:eastAsia="仿宋_GB2312" w:cs="Times New Roman"/>
          <w:color w:val="auto"/>
          <w:sz w:val="32"/>
          <w:szCs w:val="32"/>
          <w:highlight w:val="none"/>
          <w:u w:val="none" w:color="auto"/>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推动外贸提质升级。</w:t>
      </w:r>
      <w:r>
        <w:rPr>
          <w:rFonts w:hint="default" w:ascii="Times New Roman" w:hAnsi="Times New Roman" w:eastAsia="仿宋_GB2312" w:cs="Times New Roman"/>
          <w:color w:val="auto"/>
          <w:spacing w:val="0"/>
          <w:sz w:val="32"/>
          <w:szCs w:val="32"/>
          <w:highlight w:val="none"/>
          <w:u w:val="none" w:color="auto"/>
          <w:lang w:val="en-US" w:eastAsia="zh-CN"/>
        </w:rPr>
        <w:t>实施市场拓展升级行动</w:t>
      </w:r>
      <w:r>
        <w:rPr>
          <w:rFonts w:hint="default"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支持服务企业参加广交会、进博会等重点展会，</w:t>
      </w:r>
      <w:r>
        <w:rPr>
          <w:rFonts w:hint="default" w:ascii="Times New Roman" w:hAnsi="Times New Roman" w:eastAsia="仿宋_GB2312" w:cs="Times New Roman"/>
          <w:color w:val="auto"/>
          <w:spacing w:val="0"/>
          <w:sz w:val="32"/>
          <w:szCs w:val="32"/>
          <w:highlight w:val="none"/>
          <w:u w:val="none" w:color="auto"/>
          <w:lang w:val="en-US" w:eastAsia="zh-CN"/>
        </w:rPr>
        <w:t>大力开拓“一带一路”共建国家及东盟、拉美、非洲等新兴市场，培育外贸竞争新优势。强化产业主体培育</w:t>
      </w:r>
      <w:r>
        <w:rPr>
          <w:rFonts w:hint="default"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聚焦农副产品、</w:t>
      </w:r>
      <w:r>
        <w:rPr>
          <w:rFonts w:hint="default" w:ascii="Times New Roman" w:hAnsi="Times New Roman" w:cs="Times New Roman"/>
          <w:color w:val="auto"/>
          <w:sz w:val="32"/>
          <w:szCs w:val="32"/>
          <w:highlight w:val="none"/>
          <w:u w:val="none" w:color="auto"/>
          <w:lang w:val="en-US" w:eastAsia="zh-CN"/>
        </w:rPr>
        <w:t>现代</w:t>
      </w:r>
      <w:r>
        <w:rPr>
          <w:rFonts w:hint="default" w:ascii="Times New Roman" w:hAnsi="Times New Roman" w:cs="Times New Roman"/>
          <w:color w:val="auto"/>
          <w:highlight w:val="none"/>
          <w:lang w:val="en-US" w:eastAsia="zh-CN"/>
        </w:rPr>
        <w:t>医药</w:t>
      </w:r>
      <w:r>
        <w:rPr>
          <w:rFonts w:hint="default" w:ascii="Times New Roman" w:hAnsi="Times New Roman" w:eastAsia="仿宋_GB2312" w:cs="Times New Roman"/>
          <w:color w:val="auto"/>
          <w:sz w:val="32"/>
          <w:szCs w:val="32"/>
          <w:highlight w:val="none"/>
          <w:u w:val="none" w:color="auto"/>
          <w:lang w:val="en-US" w:eastAsia="zh-CN"/>
        </w:rPr>
        <w:t>、非遗文创等领域，开发高附加值产品，延伸产业链条，提升产品竞争力。壮大外贸梯队</w:t>
      </w:r>
      <w:r>
        <w:rPr>
          <w:rFonts w:hint="default" w:ascii="Times New Roman" w:hAnsi="Times New Roman"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rPr>
        <w:t>鼓励传统内贸企业拓展国际市场，</w:t>
      </w:r>
      <w:r>
        <w:rPr>
          <w:rFonts w:hint="default" w:ascii="Times New Roman" w:hAnsi="Times New Roman" w:cs="Times New Roman"/>
          <w:color w:val="auto"/>
          <w:sz w:val="32"/>
          <w:szCs w:val="32"/>
          <w:highlight w:val="none"/>
          <w:u w:val="none" w:color="auto"/>
          <w:lang w:val="en-US" w:eastAsia="zh-CN"/>
        </w:rPr>
        <w:t>持续</w:t>
      </w:r>
      <w:r>
        <w:rPr>
          <w:rFonts w:hint="default" w:ascii="Times New Roman" w:hAnsi="Times New Roman" w:eastAsia="仿宋_GB2312" w:cs="Times New Roman"/>
          <w:color w:val="auto"/>
          <w:sz w:val="32"/>
          <w:szCs w:val="32"/>
          <w:highlight w:val="none"/>
          <w:u w:val="none" w:color="auto"/>
          <w:lang w:val="en-US" w:eastAsia="zh-CN"/>
        </w:rPr>
        <w:t>提升</w:t>
      </w:r>
      <w:r>
        <w:rPr>
          <w:rFonts w:hint="default" w:ascii="Times New Roman" w:hAnsi="Times New Roman" w:eastAsia="仿宋_GB2312" w:cs="Times New Roman"/>
          <w:color w:val="auto"/>
          <w:sz w:val="32"/>
          <w:szCs w:val="32"/>
          <w:highlight w:val="none"/>
          <w:u w:val="none" w:color="auto"/>
        </w:rPr>
        <w:t>内外贸</w:t>
      </w:r>
      <w:r>
        <w:rPr>
          <w:rFonts w:hint="default" w:ascii="Times New Roman" w:hAnsi="Times New Roman" w:eastAsia="仿宋_GB2312" w:cs="Times New Roman"/>
          <w:color w:val="auto"/>
          <w:sz w:val="32"/>
          <w:szCs w:val="32"/>
          <w:highlight w:val="none"/>
          <w:u w:val="none" w:color="auto"/>
          <w:lang w:eastAsia="zh-CN"/>
        </w:rPr>
        <w:t>协同</w:t>
      </w:r>
      <w:r>
        <w:rPr>
          <w:rFonts w:hint="default" w:ascii="Times New Roman" w:hAnsi="Times New Roman" w:eastAsia="仿宋_GB2312" w:cs="Times New Roman"/>
          <w:color w:val="auto"/>
          <w:sz w:val="32"/>
          <w:szCs w:val="32"/>
          <w:highlight w:val="none"/>
          <w:u w:val="none" w:color="auto"/>
        </w:rPr>
        <w:t>发展</w:t>
      </w:r>
      <w:r>
        <w:rPr>
          <w:rFonts w:hint="default" w:ascii="Times New Roman" w:hAnsi="Times New Roman" w:eastAsia="仿宋_GB2312" w:cs="Times New Roman"/>
          <w:color w:val="auto"/>
          <w:sz w:val="32"/>
          <w:szCs w:val="32"/>
          <w:highlight w:val="none"/>
          <w:u w:val="none" w:color="auto"/>
          <w:lang w:val="en-US" w:eastAsia="zh-CN"/>
        </w:rPr>
        <w:t>水平。</w:t>
      </w:r>
      <w:r>
        <w:rPr>
          <w:rFonts w:hint="default" w:ascii="Times New Roman" w:hAnsi="Times New Roman" w:eastAsia="仿宋_GB2312" w:cs="Times New Roman"/>
          <w:color w:val="auto"/>
          <w:sz w:val="32"/>
          <w:szCs w:val="32"/>
          <w:highlight w:val="none"/>
          <w:u w:val="none" w:color="auto"/>
        </w:rPr>
        <w:t>加强涉外企业合规培训与风险预警服务，</w:t>
      </w:r>
      <w:r>
        <w:rPr>
          <w:rFonts w:hint="default" w:ascii="Times New Roman" w:hAnsi="Times New Roman" w:eastAsia="仿宋_GB2312" w:cs="Times New Roman"/>
          <w:color w:val="auto"/>
          <w:sz w:val="32"/>
          <w:szCs w:val="32"/>
          <w:highlight w:val="none"/>
          <w:u w:val="none" w:color="auto"/>
          <w:lang w:val="en-US" w:eastAsia="zh-CN"/>
        </w:rPr>
        <w:t>提升应对国际经贸斗争的能力。</w:t>
      </w:r>
    </w:p>
    <w:p w14:paraId="4E5B4FE6">
      <w:pPr>
        <w:shd w:val="clea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塑造吸引外资新优势。</w:t>
      </w:r>
      <w:r>
        <w:rPr>
          <w:rFonts w:hint="default" w:ascii="Times New Roman" w:hAnsi="Times New Roman" w:eastAsia="仿宋_GB2312" w:cs="Times New Roman"/>
          <w:color w:val="auto"/>
          <w:spacing w:val="0"/>
          <w:sz w:val="32"/>
          <w:szCs w:val="32"/>
          <w:highlight w:val="none"/>
          <w:u w:val="none" w:color="auto"/>
          <w:lang w:val="en-US" w:eastAsia="zh-CN"/>
        </w:rPr>
        <w:t>拓展利用外资渠道</w:t>
      </w:r>
      <w:r>
        <w:rPr>
          <w:rFonts w:hint="default"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加强跨部门协作，聚焦基础设施、城市更新、民生工程等重点领域，挖掘项目合作潜力。鼓励存量外资企业利润再投资，支持有条件的企业通过股权合作引进境外资本，实现引资方式</w:t>
      </w:r>
      <w:r>
        <w:rPr>
          <w:rFonts w:hint="default" w:ascii="Times New Roman" w:hAnsi="Times New Roman" w:cs="Times New Roman"/>
          <w:color w:val="auto"/>
          <w:highlight w:val="none"/>
          <w:lang w:val="en-US" w:eastAsia="zh-CN"/>
        </w:rPr>
        <w:t>多元化</w:t>
      </w:r>
      <w:r>
        <w:rPr>
          <w:rFonts w:hint="default" w:ascii="Times New Roman" w:hAnsi="Times New Roman" w:eastAsia="仿宋_GB2312" w:cs="Times New Roman"/>
          <w:color w:val="auto"/>
          <w:spacing w:val="0"/>
          <w:sz w:val="32"/>
          <w:szCs w:val="32"/>
          <w:highlight w:val="none"/>
          <w:u w:val="none" w:color="auto"/>
          <w:lang w:val="en-US" w:eastAsia="zh-CN"/>
        </w:rPr>
        <w:t>。擦亮“选择定陶”投资品牌，借助港澳山东周、新加坡山东周、青岛峰会等重大经贸活动，立足重点产业链开展精准推介与靶向招商。完善重点外资企业联系机制，及时回应企业诉求，稳定外商投资信心，塑造具有区域竞争力的开放发展生态。</w:t>
      </w:r>
    </w:p>
    <w:p w14:paraId="3025E07C">
      <w:pPr>
        <w:shd w:val="clear"/>
        <w:spacing w:line="240" w:lineRule="auto"/>
        <w:ind w:firstLine="632" w:firstLineChars="200"/>
        <w:rPr>
          <w:rFonts w:hint="default" w:ascii="Times New Roman" w:hAnsi="Times New Roman" w:eastAsia="仿宋_GB2312" w:cs="Times New Roman"/>
          <w:color w:val="auto"/>
          <w:sz w:val="32"/>
          <w:szCs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实现对外投资</w:t>
      </w:r>
      <w:r>
        <w:rPr>
          <w:rStyle w:val="19"/>
          <w:rFonts w:hint="default" w:ascii="Times New Roman" w:hAnsi="Times New Roman" w:cs="Times New Roman"/>
          <w:bCs/>
          <w:i w:val="0"/>
          <w:iCs w:val="0"/>
          <w:caps w:val="0"/>
          <w:color w:val="auto"/>
          <w:spacing w:val="0"/>
          <w:kern w:val="0"/>
          <w:sz w:val="32"/>
          <w:szCs w:val="32"/>
          <w:highlight w:val="none"/>
          <w:u w:val="none" w:color="auto"/>
          <w:shd w:val="clear" w:fill="FFFFFF"/>
          <w:lang w:val="en-US" w:eastAsia="zh-CN" w:bidi="ar"/>
        </w:rPr>
        <w:t>新</w:t>
      </w: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突破。</w:t>
      </w:r>
      <w:r>
        <w:rPr>
          <w:rFonts w:hint="default" w:ascii="Times New Roman" w:hAnsi="Times New Roman" w:eastAsia="仿宋_GB2312" w:cs="Times New Roman"/>
          <w:color w:val="auto"/>
          <w:spacing w:val="0"/>
          <w:sz w:val="32"/>
          <w:szCs w:val="32"/>
          <w:highlight w:val="none"/>
          <w:u w:val="none" w:color="auto"/>
          <w:lang w:val="en-US" w:eastAsia="zh-CN"/>
        </w:rPr>
        <w:t>支持有条件的企业通过跨境并购、参股等方式，获取国际先进技术、品牌与渠道，增强企业自主竞争力。引导重点企业从单一出口向“海外仓</w:t>
      </w:r>
      <w:r>
        <w:rPr>
          <w:rFonts w:hint="default" w:ascii="Times New Roman" w:hAnsi="Times New Roman"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本土化运营”模式转型，推动对外投资与外贸深度融合发展。</w:t>
      </w:r>
      <w:r>
        <w:rPr>
          <w:rFonts w:hint="default" w:ascii="Times New Roman" w:hAnsi="Times New Roman" w:eastAsia="仿宋_GB2312" w:cs="Times New Roman"/>
          <w:color w:val="auto"/>
          <w:sz w:val="32"/>
          <w:szCs w:val="32"/>
          <w:highlight w:val="none"/>
          <w:u w:val="none" w:color="auto"/>
          <w:lang w:val="en-US" w:eastAsia="zh-CN"/>
        </w:rPr>
        <w:t>鼓励支持链主企业探索建设海外生产和研发基地，打造“投资定陶、链接全球”开放新名片。</w:t>
      </w:r>
    </w:p>
    <w:bookmarkEnd w:id="57"/>
    <w:p w14:paraId="04A60DE1">
      <w:pPr>
        <w:shd w:val="clear"/>
        <w:spacing w:line="240" w:lineRule="auto"/>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58" w:name="_Toc20259"/>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br w:type="page"/>
      </w:r>
    </w:p>
    <w:p w14:paraId="09671071">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59" w:name="_Toc1125460229"/>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第六章 提升城市功能品质</w:t>
      </w:r>
      <w:bookmarkEnd w:id="51"/>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 xml:space="preserve"> 建设宜居韧性智慧城市</w:t>
      </w:r>
      <w:bookmarkEnd w:id="58"/>
      <w:bookmarkEnd w:id="59"/>
    </w:p>
    <w:p w14:paraId="5C5378A5">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立足区域协调发展全局，以人为核心推进新型城镇化提质增效，以推动城市高质量发展为主题</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统筹交通、</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水利、</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信息等现代化基础设施建设，全面增强城市综合</w:t>
      </w:r>
      <w:r>
        <w:rPr>
          <w:rFonts w:hint="default" w:ascii="Times New Roman" w:hAnsi="Times New Roman" w:cs="Times New Roman"/>
          <w:color w:val="auto"/>
          <w:highlight w:val="none"/>
          <w:lang w:val="en-US" w:eastAsia="zh-CN"/>
        </w:rPr>
        <w:t>承载</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能力</w:t>
      </w:r>
      <w:r>
        <w:rPr>
          <w:rStyle w:val="19"/>
          <w:rFonts w:hint="eastAsia"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与发展韧性</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p>
    <w:p w14:paraId="538D2F6A">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60" w:name="_Toc1503251746"/>
      <w:bookmarkStart w:id="61" w:name="_Toc27276"/>
      <w:bookmarkStart w:id="62" w:name="_Toc2474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构建宜居宜业现代化城区</w:t>
      </w:r>
      <w:bookmarkEnd w:id="60"/>
    </w:p>
    <w:p w14:paraId="741C241B">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pP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坚持以人民为中心的发展思想，提升城市功能品质和治理效能，统筹推进城市更新、精细管理和民生改善，全面提升城市人居环境、生活品质和综合承载力，着力打造安全韧性、智慧高效、富有活力、宜居宜业的现代化高品质城区。</w:t>
      </w:r>
    </w:p>
    <w:p w14:paraId="1EE0130F">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pPr>
      <w:r>
        <w:rPr>
          <w:rStyle w:val="19"/>
          <w:rFonts w:hint="default" w:ascii="Times New Roman" w:hAnsi="Times New Roman" w:cs="Times New Roman"/>
          <w:b/>
          <w:bCs/>
          <w:i w:val="0"/>
          <w:iCs w:val="0"/>
          <w:caps w:val="0"/>
          <w:color w:val="auto"/>
          <w:spacing w:val="0"/>
          <w:sz w:val="32"/>
          <w:szCs w:val="32"/>
          <w:highlight w:val="none"/>
          <w:u w:val="none" w:color="auto"/>
          <w:shd w:val="clear" w:fill="FFFFFF"/>
          <w:lang w:val="en-US" w:eastAsia="zh-CN"/>
        </w:rPr>
        <w:t>稳妥推进</w:t>
      </w: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eastAsia="zh-CN"/>
        </w:rPr>
        <w:t>城市更新。</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系统推进城区内老旧小区水、电、路、气、暖、信等基础设施改造，完善消防、安防、停车、充电、养老、托育、便民市场等配套设施，着力改善城乡人居环境</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鼓励支持既有住宅加装电梯。加强城市设计与风貌管控，塑造协调统一、富有特色的城市天际线和景观视廊。加强历史风貌保护与利用，挖掘文化内涵，在保护中推进活化利用，延续城市文脉，塑造特色风貌。优化城市空间和功能布局，有序推进重点片区综合开发，补齐基础设施和公共服务短板</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，加快推进城市公厕及垃圾中转站等民生项目建设，</w:t>
      </w:r>
      <w:r>
        <w:rPr>
          <w:rFonts w:hint="default" w:ascii="Times New Roman" w:hAnsi="Times New Roman" w:eastAsia="仿宋_GB2312" w:cs="Times New Roman"/>
          <w:color w:val="auto"/>
          <w:sz w:val="32"/>
          <w:szCs w:val="32"/>
          <w:highlight w:val="none"/>
          <w:u w:val="none" w:color="auto"/>
          <w:lang w:val="en-US" w:eastAsia="zh-CN"/>
        </w:rPr>
        <w:t>全面提升城市品质，让民生保障更有温度、群众生活更具质感。加大“牡丹文化”元素融入力度，着力构建布局合理、配套完善、功能完备、安全高效的市政基础设施服务体系。稳步实施</w:t>
      </w:r>
      <w:r>
        <w:rPr>
          <w:rFonts w:hint="default" w:ascii="Times New Roman" w:hAnsi="Times New Roman" w:cs="Times New Roman"/>
          <w:color w:val="auto"/>
          <w:highlight w:val="none"/>
          <w:lang w:val="en-US" w:eastAsia="zh-CN"/>
        </w:rPr>
        <w:t>照明</w:t>
      </w:r>
      <w:r>
        <w:rPr>
          <w:rFonts w:hint="default" w:ascii="Times New Roman" w:hAnsi="Times New Roman" w:eastAsia="仿宋_GB2312" w:cs="Times New Roman"/>
          <w:color w:val="auto"/>
          <w:sz w:val="32"/>
          <w:szCs w:val="32"/>
          <w:highlight w:val="none"/>
          <w:u w:val="none" w:color="auto"/>
          <w:lang w:val="en-US" w:eastAsia="zh-CN"/>
        </w:rPr>
        <w:t>提升工程，推进无灯路段照明设施建设，稳步提高城市照明覆盖率。</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推进城市排水防涝设施建设、老旧管网改造、应急避难场所建设等，提升城市应对自然灾害和突发事件的韧性</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增强城市防灾减灾能力。</w:t>
      </w:r>
    </w:p>
    <w:p w14:paraId="24D869FA">
      <w:pPr>
        <w:jc w:val="center"/>
        <w:rPr>
          <w:rFonts w:hint="default" w:ascii="Times New Roman" w:hAnsi="Times New Roman" w:eastAsia="楷体_GB2312"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w:t>
      </w:r>
      <w:r>
        <w:rPr>
          <w:rFonts w:hint="eastAsia" w:ascii="Times New Roman" w:hAnsi="Times New Roman" w:eastAsia="黑体" w:cs="Times New Roman"/>
          <w:color w:val="auto"/>
          <w:spacing w:val="0"/>
          <w:sz w:val="28"/>
          <w:szCs w:val="28"/>
          <w:highlight w:val="none"/>
          <w:u w:val="none" w:color="auto"/>
          <w:lang w:val="en-US" w:eastAsia="zh-CN"/>
        </w:rPr>
        <w:t>6</w:t>
      </w:r>
      <w:r>
        <w:rPr>
          <w:rFonts w:hint="default" w:ascii="Times New Roman" w:hAnsi="Times New Roman" w:eastAsia="黑体" w:cs="Times New Roman"/>
          <w:color w:val="auto"/>
          <w:spacing w:val="0"/>
          <w:sz w:val="28"/>
          <w:szCs w:val="28"/>
          <w:highlight w:val="none"/>
          <w:u w:val="none" w:color="auto"/>
          <w:lang w:val="en-US" w:eastAsia="zh-CN"/>
        </w:rPr>
        <w:t xml:space="preserve"> 城市基础设施改造提升项目</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6A9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92D9386">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textAlignment w:val="auto"/>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vertAlign w:val="baseline"/>
                <w:lang w:eastAsia="zh-CN"/>
              </w:rPr>
            </w:pPr>
            <w:r>
              <w:rPr>
                <w:rFonts w:hint="default" w:ascii="Times New Roman" w:hAnsi="Times New Roman" w:eastAsia="仿宋_GB2312" w:cs="Times New Roman"/>
                <w:color w:val="auto"/>
                <w:spacing w:val="0"/>
                <w:sz w:val="28"/>
                <w:szCs w:val="28"/>
                <w:highlight w:val="none"/>
                <w:u w:val="none" w:color="auto"/>
                <w:lang w:val="en-US" w:eastAsia="zh-CN"/>
              </w:rPr>
              <w:t>定陶区户内燃气管道设施新建及更新改造工程、</w:t>
            </w:r>
            <w:r>
              <w:rPr>
                <w:rFonts w:hint="default" w:ascii="Times New Roman" w:hAnsi="Times New Roman" w:eastAsia="仿宋_GB2312" w:cs="Times New Roman"/>
                <w:b w:val="0"/>
                <w:bCs w:val="0"/>
                <w:i w:val="0"/>
                <w:iCs w:val="0"/>
                <w:color w:val="auto"/>
                <w:kern w:val="0"/>
                <w:sz w:val="28"/>
                <w:szCs w:val="28"/>
                <w:highlight w:val="none"/>
                <w:u w:val="none" w:color="auto"/>
                <w:lang w:val="en-US" w:eastAsia="zh-CN" w:bidi="ar"/>
              </w:rPr>
              <w:t>定陶城镇智能化照明设施更新改造项目、</w:t>
            </w:r>
            <w:r>
              <w:rPr>
                <w:rFonts w:hint="default" w:ascii="Times New Roman" w:hAnsi="Times New Roman" w:cs="Times New Roman"/>
                <w:b w:val="0"/>
                <w:bCs w:val="0"/>
                <w:i w:val="0"/>
                <w:iCs w:val="0"/>
                <w:color w:val="auto"/>
                <w:kern w:val="0"/>
                <w:sz w:val="28"/>
                <w:szCs w:val="28"/>
                <w:highlight w:val="none"/>
                <w:u w:val="none" w:color="auto"/>
                <w:lang w:val="en-US" w:eastAsia="zh-CN" w:bidi="ar"/>
              </w:rPr>
              <w:t>定陶区市政道路及配套设施更新改造工程</w:t>
            </w:r>
            <w:r>
              <w:rPr>
                <w:rFonts w:hint="default" w:ascii="Times New Roman" w:hAnsi="Times New Roman" w:eastAsia="仿宋_GB2312" w:cs="Times New Roman"/>
                <w:color w:val="auto"/>
                <w:spacing w:val="0"/>
                <w:sz w:val="28"/>
                <w:szCs w:val="28"/>
                <w:highlight w:val="none"/>
                <w:u w:val="none" w:color="auto"/>
                <w:lang w:val="en-US" w:eastAsia="zh-CN"/>
              </w:rPr>
              <w:t>。</w:t>
            </w:r>
          </w:p>
        </w:tc>
      </w:tr>
    </w:tbl>
    <w:p w14:paraId="3275CA8A">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加强城市精细化管理。</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提升市容环境管理水平</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推行“环卫一体化”模式，提高道路清扫保洁机械化、智能化水平。持续整治占道经营、乱搭乱建、乱停乱放等现象</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加强户外广告</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招牌设置和公共空间资源使用管理。加强停车设施规划建设与管理，挖掘利用闲置地块增加停车供给，推广智慧停车，</w:t>
      </w:r>
      <w:r>
        <w:rPr>
          <w:rFonts w:hint="default" w:ascii="Times New Roman" w:hAnsi="Times New Roman" w:eastAsia="仿宋_GB2312" w:cs="Times New Roman"/>
          <w:color w:val="auto"/>
          <w:sz w:val="32"/>
          <w:szCs w:val="32"/>
          <w:highlight w:val="none"/>
          <w:u w:val="none" w:color="auto"/>
          <w:lang w:val="en-US" w:eastAsia="zh-CN"/>
        </w:rPr>
        <w:t>推进</w:t>
      </w:r>
      <w:r>
        <w:rPr>
          <w:rFonts w:hint="eastAsia" w:ascii="Times New Roman" w:hAnsi="Times New Roman"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全区一个停车场</w:t>
      </w:r>
      <w:r>
        <w:rPr>
          <w:rFonts w:hint="eastAsia" w:ascii="Times New Roman" w:hAnsi="Times New Roman"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建设，实现“一码通停、先离后付”。</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推进生活垃圾分类与处理，健全生活垃圾分类投放、收集、运输、处理体系，提高居民垃圾分类参与率和准确率</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加快垃圾焚烧、厨余垃圾处理等终端设施建设，提升资源化利用水平。加快建筑垃圾资源化利用项目建设，实现建筑垃圾“产生、贮存、运输、处置、利用”全过程规范监管。创新城市治理方式，鼓励市民、社会组织、企业等多方参与城市治理，构建共建共治共享格局。打造“数智城管”品牌</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坚持“集约建设、资源共享、协同联动”原则，汇聚城市运行、管理、服务等领域数据资源，构建城市运行管理服务平台，推动市容环境、燃气热力、垃圾处置、市政设施等业务全要素数字化，形成城市管理“一张网”运行模式。</w:t>
      </w:r>
    </w:p>
    <w:p w14:paraId="7F0DCA64">
      <w:pPr>
        <w:shd w:val="clear"/>
        <w:spacing w:line="240" w:lineRule="auto"/>
        <w:ind w:firstLine="632" w:firstLineChars="200"/>
        <w:rPr>
          <w:rFonts w:hint="default" w:ascii="Times New Roman" w:hAnsi="Times New Roman" w:cs="Times New Roman"/>
          <w:color w:val="auto"/>
          <w:highlight w:val="none"/>
          <w:u w:val="none" w:color="auto"/>
          <w:lang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促进房地产高质量发展。</w:t>
      </w:r>
      <w:r>
        <w:rPr>
          <w:rFonts w:hint="default" w:ascii="Times New Roman" w:hAnsi="Times New Roman" w:eastAsia="仿宋_GB2312" w:cs="Times New Roman"/>
          <w:color w:val="auto"/>
          <w:spacing w:val="0"/>
          <w:sz w:val="32"/>
          <w:szCs w:val="32"/>
          <w:highlight w:val="none"/>
          <w:u w:val="none" w:color="auto"/>
          <w:lang w:eastAsia="zh-CN"/>
        </w:rPr>
        <w:t>坚持“房子是用来住的、不是用来炒的”定位，促进房地产市场平稳健康发展和居住品质全面提升</w:t>
      </w:r>
      <w:r>
        <w:rPr>
          <w:rFonts w:hint="default" w:ascii="Times New Roman" w:hAnsi="Times New Roman"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lang w:eastAsia="zh-CN"/>
        </w:rPr>
        <w:t>加强市场预期引导、优化住房供给结构、强化风险防控和完善监管机制，推动房地产开发向高质量、高品质转型</w:t>
      </w:r>
      <w:r>
        <w:rPr>
          <w:rFonts w:hint="default" w:ascii="Times New Roman" w:hAnsi="Times New Roman"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lang w:eastAsia="zh-CN"/>
        </w:rPr>
        <w:t>系统推进住房保障体系与市场体系的协同发展，持续深化老旧小区改造和物业管理服务升级，构建覆盖更广、保障更稳、服务更优的现代住房发展格局，实现房地产与城市功能完善、民生保障改善的良性循环，为居民创造更高品质的宜居生活环境。</w:t>
      </w:r>
    </w:p>
    <w:p w14:paraId="0FC02004">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63" w:name="_Toc183839016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加快推进新型城镇化</w:t>
      </w:r>
      <w:bookmarkEnd w:id="61"/>
      <w:bookmarkEnd w:id="6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建设</w:t>
      </w:r>
      <w:bookmarkEnd w:id="63"/>
    </w:p>
    <w:p w14:paraId="1BDA055A">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rPr>
      </w:pP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rPr>
        <w:t>坚持以人为核心，以提升质量为导向，优化空间布局，完善功能配套，提升治理水平，建设创新、宜居、美丽、韧性、文明、智慧的现代化人民城市。</w:t>
      </w:r>
    </w:p>
    <w:p w14:paraId="7CA00B2B">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eastAsia="zh-CN"/>
        </w:rPr>
        <w:t>科学有序推进农业转移人口市民化。</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建立健全与居住证制度相挂钩的基本公共服务提供机制，稳步扩大居住证附加的公共服务范围</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不断</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提高服务标准。强化随迁子女教育保障</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，把</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农业转移人口随迁子女义务教育</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纳入公共</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财政保障范围，以公办学校为主入学，确保应入尽入。加强面向农业转移人口的职业技能培训和创业指导，提升就业竞争力和稳定性。健全城乡统一的劳动力市场，消除就业歧视，依法保障劳动报酬、休息休假、劳动安全卫生等权益。依法将稳定就业的农业转移人口纳入职工基本养老保险、基本医疗保险、失业保险、工伤保险等覆盖范围。将符合条件的农业转移人口纳入城镇住房保障体系，通过提供公共租赁住房、保障性租赁住房等多种方式，满足多样化住房需求。</w:t>
      </w:r>
    </w:p>
    <w:p w14:paraId="2AC6AD19">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eastAsia="zh-CN"/>
        </w:rPr>
        <w:t>优化</w:t>
      </w: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城区</w:t>
      </w: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eastAsia="zh-CN"/>
        </w:rPr>
        <w:t>空间格局。</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完善国土空间规划体系，落实优化耕地和永久基本农田、生态保护红线、城镇开发边界等控制线，分区分类实施差别化、精细化用途管制。严格遵循城镇开发边界管控，促进城镇空间集约紧凑发展</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推进全域土地综合整治，引导村庄建设用地有序减量与人口向城镇集中。积极探索土地混合开发利用、用途兼容及转换的正负面清单、规模控制比例和分割转让条件及要求，盘活利用城区内存量低效工业用地和闲置厂房，深入推进城镇低效用地再开发，通过政府收储片区统筹、原产权人自主改造、企业联合升级改造等多种再开发模式，因地制宜发展文创、科创、商贸、文旅等新产业、新业态，激发城市活力</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聚焦</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全区</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“北融、东拓、西优”发展方向</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向北依托人民路、广州路等通道对接主城，高标准建设万福新城</w:t>
      </w:r>
      <w:r>
        <w:rPr>
          <w:rStyle w:val="19"/>
          <w:rFonts w:hint="eastAsia"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汽车小镇，强化与市级综合服务区、高铁商务中心的功能协同；向东跨京九铁路布局工业园区，建设润鑫化工产业</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园</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与智能制造产业园聚集带；向西以菏曹运河为脉，打造生态文化新城，加强仿山、官堌堆等历史文化遗产保护与活化，适度承接老城功能疏解</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构建“产城融合、古今交汇、功能协同”的集约高效空间结构</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p>
    <w:p w14:paraId="59C7B48D">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64" w:name="_Toc9849"/>
      <w:bookmarkStart w:id="65" w:name="_Toc4077"/>
      <w:bookmarkStart w:id="66" w:name="_Toc1863909015"/>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 xml:space="preserve">第三节 </w:t>
      </w:r>
      <w:bookmarkEnd w:id="64"/>
      <w:bookmarkEnd w:id="65"/>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优化全域基础设施</w:t>
      </w:r>
      <w:r>
        <w:rPr>
          <w:rStyle w:val="19"/>
          <w:rFonts w:hint="eastAsia"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布局</w:t>
      </w:r>
      <w:bookmarkEnd w:id="66"/>
    </w:p>
    <w:p w14:paraId="122416FC">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统筹推进交通、能源、水利、信息等领域的系统性布局和整体性优化</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全面构建高效畅达、安全可靠、绿色智能、适度超前的现代化基础设施网络，</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为全区经济社会</w:t>
      </w:r>
      <w:r>
        <w:rPr>
          <w:rFonts w:hint="default" w:ascii="Times New Roman" w:hAnsi="Times New Roman" w:cs="Times New Roman"/>
          <w:color w:val="auto"/>
          <w:highlight w:val="none"/>
          <w:lang w:val="en-US" w:eastAsia="zh-CN"/>
        </w:rPr>
        <w:t>发展</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提供有力的基础支撑。</w:t>
      </w:r>
    </w:p>
    <w:p w14:paraId="3B4F4F2A">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6"/>
          <w:sz w:val="32"/>
          <w:szCs w:val="32"/>
          <w:highlight w:val="none"/>
          <w:u w:val="none" w:color="auto"/>
          <w:shd w:val="clear" w:fill="FFFFFF"/>
          <w:lang w:val="en-US" w:eastAsia="zh-CN"/>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构建高效畅达</w:t>
      </w:r>
      <w:r>
        <w:rPr>
          <w:rStyle w:val="19"/>
          <w:rFonts w:hint="default" w:ascii="Times New Roman" w:hAnsi="Times New Roman" w:cs="Times New Roman"/>
          <w:b/>
          <w:bCs/>
          <w:i w:val="0"/>
          <w:iCs w:val="0"/>
          <w:caps w:val="0"/>
          <w:color w:val="auto"/>
          <w:spacing w:val="0"/>
          <w:sz w:val="32"/>
          <w:szCs w:val="32"/>
          <w:highlight w:val="none"/>
          <w:u w:val="none" w:color="auto"/>
          <w:shd w:val="clear" w:fill="FFFFFF"/>
          <w:lang w:val="en-US" w:eastAsia="zh-CN"/>
        </w:rPr>
        <w:t>综合</w:t>
      </w: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交通体系。</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积极融入国家高速铁路网络，全力保障雄商高铁、鲁南高铁等国家干线工程顺利实施。加快推进菏徐铁路定陶货运中心建设，形成“十字</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形</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铁路货运枢纽架构。完善高快速公路网布局，推进上海路至孟海作业区疏港公路等项目建设，强化与菏泽高铁站、牡丹机场等区域枢纽的快速衔接。依托新万福河航道资源，推进孟海作业区综合枢纽建设，实施东鱼河南支、万福河复航工程，预留</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冉堌</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作业区发展空间，构建通江达海的水运通道，形成“公铁水空”协同发展的多式联运体系。统筹推进旅游公路建设，串联</w:t>
      </w:r>
      <w:r>
        <w:rPr>
          <w:rStyle w:val="19"/>
          <w:rFonts w:hint="eastAsia" w:ascii="Times New Roman" w:hAnsi="Times New Roman" w:cs="Times New Roman"/>
          <w:b w:val="0"/>
          <w:bCs w:val="0"/>
          <w:i w:val="0"/>
          <w:iCs w:val="0"/>
          <w:caps w:val="0"/>
          <w:color w:val="auto"/>
          <w:spacing w:val="0"/>
          <w:sz w:val="32"/>
          <w:szCs w:val="32"/>
          <w:highlight w:val="none"/>
          <w:u w:val="none" w:color="auto"/>
          <w:shd w:val="clear" w:fill="FFFFFF"/>
          <w:lang w:val="en-US" w:eastAsia="zh-CN"/>
        </w:rPr>
        <w:t>全区</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13处历史古迹与风景区，打造“快进慢游”的旅游交通网络。结合港口作业区布局，完善疏港公路体系，促进港口与腹地联动发展。积极推进低空经济基础设施建设，布局航运枢纽、维修中心、起降中心和仓储服务中心，实</w:t>
      </w:r>
      <w:r>
        <w:rPr>
          <w:rStyle w:val="19"/>
          <w:rFonts w:hint="default" w:ascii="Times New Roman" w:hAnsi="Times New Roman" w:eastAsia="仿宋_GB2312" w:cs="Times New Roman"/>
          <w:b w:val="0"/>
          <w:bCs w:val="0"/>
          <w:i w:val="0"/>
          <w:iCs w:val="0"/>
          <w:caps w:val="0"/>
          <w:color w:val="auto"/>
          <w:spacing w:val="6"/>
          <w:sz w:val="32"/>
          <w:szCs w:val="32"/>
          <w:highlight w:val="none"/>
          <w:u w:val="none" w:color="auto"/>
          <w:shd w:val="clear" w:fill="FFFFFF"/>
          <w:lang w:val="en-US" w:eastAsia="zh-CN"/>
        </w:rPr>
        <w:t>现低空飞行安全、高效、智能化管理。深化“四好农村路”建设，实施农村公路新改扩建</w:t>
      </w:r>
      <w:r>
        <w:rPr>
          <w:rStyle w:val="19"/>
          <w:rFonts w:hint="default" w:ascii="Times New Roman" w:hAnsi="Times New Roman" w:cs="Times New Roman"/>
          <w:b w:val="0"/>
          <w:bCs w:val="0"/>
          <w:i w:val="0"/>
          <w:iCs w:val="0"/>
          <w:caps w:val="0"/>
          <w:color w:val="auto"/>
          <w:spacing w:val="6"/>
          <w:sz w:val="32"/>
          <w:szCs w:val="32"/>
          <w:highlight w:val="none"/>
          <w:u w:val="none" w:color="auto"/>
          <w:shd w:val="clear" w:fill="FFFFFF"/>
          <w:lang w:val="en-US" w:eastAsia="zh-CN"/>
        </w:rPr>
        <w:t>及安防工程，</w:t>
      </w:r>
      <w:r>
        <w:rPr>
          <w:rStyle w:val="19"/>
          <w:rFonts w:hint="default" w:ascii="Times New Roman" w:hAnsi="Times New Roman" w:eastAsia="仿宋_GB2312" w:cs="Times New Roman"/>
          <w:b w:val="0"/>
          <w:bCs w:val="0"/>
          <w:i w:val="0"/>
          <w:iCs w:val="0"/>
          <w:caps w:val="0"/>
          <w:color w:val="auto"/>
          <w:spacing w:val="6"/>
          <w:sz w:val="32"/>
          <w:szCs w:val="32"/>
          <w:highlight w:val="none"/>
          <w:u w:val="none" w:color="auto"/>
          <w:shd w:val="clear" w:fill="FFFFFF"/>
          <w:lang w:val="en-US" w:eastAsia="zh-CN"/>
        </w:rPr>
        <w:t>提升农村路网覆盖深度和通达水平，服务乡村振兴战略。推动绿色低碳交通发展，实施交通信息一体化项目，建设全域交通管理系统，更新新能源公交车，配套建设充电基础设施。推进城乡公交一体化，优化客运线路布局，完善城乡客运服务网络，提升公共交通服务均等化水平。</w:t>
      </w:r>
    </w:p>
    <w:p w14:paraId="7A543D58">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w:t>
      </w:r>
      <w:r>
        <w:rPr>
          <w:rFonts w:hint="eastAsia" w:ascii="Times New Roman" w:hAnsi="Times New Roman" w:eastAsia="黑体" w:cs="Times New Roman"/>
          <w:color w:val="auto"/>
          <w:spacing w:val="0"/>
          <w:sz w:val="28"/>
          <w:szCs w:val="28"/>
          <w:highlight w:val="none"/>
          <w:u w:val="none" w:color="auto"/>
          <w:lang w:val="en-US" w:eastAsia="zh-CN"/>
        </w:rPr>
        <w:t>7</w:t>
      </w:r>
      <w:r>
        <w:rPr>
          <w:rFonts w:hint="default" w:ascii="Times New Roman" w:hAnsi="Times New Roman" w:eastAsia="黑体" w:cs="Times New Roman"/>
          <w:color w:val="auto"/>
          <w:spacing w:val="0"/>
          <w:sz w:val="28"/>
          <w:szCs w:val="28"/>
          <w:highlight w:val="none"/>
          <w:u w:val="none" w:color="auto"/>
          <w:lang w:val="en-US" w:eastAsia="zh-CN"/>
        </w:rPr>
        <w:t xml:space="preserve"> 交通基础设施重点工程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328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15A79A4">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textAlignment w:val="auto"/>
              <w:rPr>
                <w:rFonts w:hint="eastAsia" w:ascii="Times New Roman" w:hAnsi="Times New Roman" w:cs="Times New Roman"/>
                <w:b w:val="0"/>
                <w:bCs w:val="0"/>
                <w:i w:val="0"/>
                <w:iCs w:val="0"/>
                <w:color w:val="auto"/>
                <w:kern w:val="0"/>
                <w:sz w:val="28"/>
                <w:szCs w:val="28"/>
                <w:highlight w:val="none"/>
                <w:u w:val="none" w:color="auto"/>
                <w:lang w:val="en-US" w:eastAsia="zh-CN" w:bidi="ar"/>
              </w:rPr>
            </w:pPr>
            <w:r>
              <w:rPr>
                <w:rFonts w:hint="eastAsia" w:ascii="Times New Roman" w:hAnsi="Times New Roman" w:cs="Times New Roman"/>
                <w:b w:val="0"/>
                <w:bCs w:val="0"/>
                <w:i w:val="0"/>
                <w:iCs w:val="0"/>
                <w:color w:val="auto"/>
                <w:kern w:val="0"/>
                <w:sz w:val="28"/>
                <w:szCs w:val="28"/>
                <w:highlight w:val="none"/>
                <w:u w:val="none" w:color="auto"/>
                <w:lang w:val="en-US" w:eastAsia="zh-CN" w:bidi="ar"/>
              </w:rPr>
              <w:t>1</w:t>
            </w:r>
            <w:r>
              <w:rPr>
                <w:rFonts w:hint="default" w:ascii="Times New Roman" w:hAnsi="Times New Roman" w:eastAsia="仿宋_GB2312" w:cs="Times New Roman"/>
                <w:b w:val="0"/>
                <w:bCs w:val="0"/>
                <w:i w:val="0"/>
                <w:iCs w:val="0"/>
                <w:color w:val="auto"/>
                <w:kern w:val="0"/>
                <w:sz w:val="28"/>
                <w:szCs w:val="28"/>
                <w:highlight w:val="none"/>
                <w:u w:val="none" w:color="auto"/>
                <w:lang w:val="en-US" w:eastAsia="zh-CN" w:bidi="ar"/>
              </w:rPr>
              <w:t>.</w:t>
            </w:r>
            <w:r>
              <w:rPr>
                <w:rFonts w:hint="eastAsia" w:ascii="Times New Roman" w:hAnsi="Times New Roman" w:cs="Times New Roman"/>
                <w:b w:val="0"/>
                <w:bCs w:val="0"/>
                <w:i w:val="0"/>
                <w:iCs w:val="0"/>
                <w:color w:val="auto"/>
                <w:kern w:val="0"/>
                <w:sz w:val="28"/>
                <w:szCs w:val="28"/>
                <w:highlight w:val="none"/>
                <w:u w:val="none" w:color="auto"/>
                <w:lang w:val="en-US" w:eastAsia="zh-CN" w:bidi="ar"/>
              </w:rPr>
              <w:t>公路项目：</w:t>
            </w:r>
            <w:r>
              <w:rPr>
                <w:rFonts w:hint="default" w:ascii="Times New Roman" w:hAnsi="Times New Roman" w:eastAsia="仿宋_GB2312" w:cs="Times New Roman"/>
                <w:b w:val="0"/>
                <w:bCs w:val="0"/>
                <w:i w:val="0"/>
                <w:iCs w:val="0"/>
                <w:color w:val="auto"/>
                <w:kern w:val="0"/>
                <w:sz w:val="28"/>
                <w:szCs w:val="28"/>
                <w:highlight w:val="none"/>
                <w:u w:val="none" w:color="auto"/>
                <w:lang w:val="en-US" w:eastAsia="zh-CN" w:bidi="ar"/>
              </w:rPr>
              <w:t>菏泽市定陶区“四好农村路”高质量发展建设项目</w:t>
            </w:r>
            <w:r>
              <w:rPr>
                <w:rFonts w:hint="eastAsia" w:ascii="Times New Roman" w:hAnsi="Times New Roman" w:cs="Times New Roman"/>
                <w:b w:val="0"/>
                <w:bCs w:val="0"/>
                <w:i w:val="0"/>
                <w:iCs w:val="0"/>
                <w:color w:val="auto"/>
                <w:kern w:val="0"/>
                <w:sz w:val="28"/>
                <w:szCs w:val="28"/>
                <w:highlight w:val="none"/>
                <w:u w:val="none" w:color="auto"/>
                <w:shd w:val="clear"/>
                <w:lang w:val="en-US" w:eastAsia="zh-CN" w:bidi="ar"/>
              </w:rPr>
              <w:t>、</w:t>
            </w:r>
            <w:r>
              <w:rPr>
                <w:rFonts w:hint="default" w:ascii="Times New Roman" w:hAnsi="Times New Roman" w:eastAsia="仿宋_GB2312" w:cs="Times New Roman"/>
                <w:b w:val="0"/>
                <w:bCs w:val="0"/>
                <w:i w:val="0"/>
                <w:iCs w:val="0"/>
                <w:color w:val="auto"/>
                <w:kern w:val="0"/>
                <w:sz w:val="28"/>
                <w:szCs w:val="28"/>
                <w:highlight w:val="none"/>
                <w:u w:val="none" w:color="auto"/>
                <w:lang w:val="en-US" w:eastAsia="zh-CN" w:bidi="ar"/>
              </w:rPr>
              <w:t>菏泽市定陶区陶朱公大街至西赵庄改建工程国防战备公路项目</w:t>
            </w:r>
            <w:r>
              <w:rPr>
                <w:rFonts w:hint="eastAsia" w:ascii="Times New Roman" w:hAnsi="Times New Roman" w:cs="Times New Roman"/>
                <w:b w:val="0"/>
                <w:bCs w:val="0"/>
                <w:i w:val="0"/>
                <w:iCs w:val="0"/>
                <w:color w:val="auto"/>
                <w:kern w:val="0"/>
                <w:sz w:val="28"/>
                <w:szCs w:val="28"/>
                <w:highlight w:val="none"/>
                <w:u w:val="none" w:color="auto"/>
                <w:lang w:val="en-US" w:eastAsia="zh-CN" w:bidi="ar"/>
              </w:rPr>
              <w:t>、</w:t>
            </w:r>
            <w:r>
              <w:rPr>
                <w:rFonts w:hint="default" w:ascii="Times New Roman" w:hAnsi="Times New Roman" w:eastAsia="仿宋_GB2312" w:cs="Times New Roman"/>
                <w:b w:val="0"/>
                <w:bCs w:val="0"/>
                <w:i w:val="0"/>
                <w:iCs w:val="0"/>
                <w:color w:val="auto"/>
                <w:kern w:val="0"/>
                <w:sz w:val="28"/>
                <w:szCs w:val="28"/>
                <w:highlight w:val="none"/>
                <w:u w:val="none" w:color="auto"/>
                <w:lang w:val="en-US" w:eastAsia="zh-CN" w:bidi="ar"/>
              </w:rPr>
              <w:t>新东外环（起点于邓庄西G518向北新建经大牛庄东，于东王店村东过S328，经杨庄西于杨楼村西向西转向，至前孙庄南与S328共线）</w:t>
            </w:r>
            <w:r>
              <w:rPr>
                <w:rFonts w:hint="eastAsia" w:ascii="Times New Roman" w:hAnsi="Times New Roman" w:cs="Times New Roman"/>
                <w:b w:val="0"/>
                <w:bCs w:val="0"/>
                <w:i w:val="0"/>
                <w:iCs w:val="0"/>
                <w:color w:val="auto"/>
                <w:kern w:val="0"/>
                <w:sz w:val="28"/>
                <w:szCs w:val="28"/>
                <w:highlight w:val="none"/>
                <w:u w:val="none" w:color="auto"/>
                <w:shd w:val="clear"/>
                <w:lang w:val="en-US" w:eastAsia="zh-CN" w:bidi="ar"/>
              </w:rPr>
              <w:t>、</w:t>
            </w:r>
            <w:r>
              <w:rPr>
                <w:rFonts w:hint="default" w:ascii="Times New Roman" w:hAnsi="Times New Roman" w:eastAsia="仿宋_GB2312" w:cs="Times New Roman"/>
                <w:b w:val="0"/>
                <w:bCs w:val="0"/>
                <w:i w:val="0"/>
                <w:iCs w:val="0"/>
                <w:color w:val="auto"/>
                <w:kern w:val="0"/>
                <w:sz w:val="28"/>
                <w:szCs w:val="28"/>
                <w:highlight w:val="none"/>
                <w:u w:val="none" w:color="auto"/>
                <w:shd w:val="clear"/>
                <w:lang w:val="en-US" w:eastAsia="zh-CN" w:bidi="ar"/>
              </w:rPr>
              <w:t>S251提升工程</w:t>
            </w:r>
            <w:r>
              <w:rPr>
                <w:rFonts w:hint="eastAsia" w:ascii="Times New Roman" w:hAnsi="Times New Roman" w:cs="Times New Roman"/>
                <w:b w:val="0"/>
                <w:bCs w:val="0"/>
                <w:i w:val="0"/>
                <w:iCs w:val="0"/>
                <w:color w:val="auto"/>
                <w:kern w:val="0"/>
                <w:sz w:val="28"/>
                <w:szCs w:val="28"/>
                <w:highlight w:val="none"/>
                <w:u w:val="none" w:color="auto"/>
                <w:shd w:val="clear"/>
                <w:lang w:val="en-US" w:eastAsia="zh-CN" w:bidi="ar"/>
              </w:rPr>
              <w:t>、</w:t>
            </w:r>
            <w:r>
              <w:rPr>
                <w:rFonts w:hint="eastAsia" w:ascii="Times New Roman" w:hAnsi="Times New Roman" w:cs="Times New Roman"/>
                <w:b w:val="0"/>
                <w:bCs w:val="0"/>
                <w:i w:val="0"/>
                <w:iCs w:val="0"/>
                <w:color w:val="auto"/>
                <w:kern w:val="0"/>
                <w:sz w:val="28"/>
                <w:szCs w:val="28"/>
                <w:highlight w:val="none"/>
                <w:u w:val="none" w:color="auto"/>
                <w:lang w:val="en-US" w:eastAsia="zh-CN" w:bidi="ar"/>
              </w:rPr>
              <w:t>菏泽市定陶区旅游公路项目、上海路至孟海作业区疏港公路工程（万福河景观带旅游路）、半冉路县道升级工程</w:t>
            </w:r>
          </w:p>
          <w:p w14:paraId="14A620B6">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textAlignment w:val="auto"/>
              <w:rPr>
                <w:rFonts w:hint="default" w:ascii="Times New Roman" w:hAnsi="Times New Roman" w:cs="Times New Roman"/>
                <w:b w:val="0"/>
                <w:bCs w:val="0"/>
                <w:i w:val="0"/>
                <w:iCs w:val="0"/>
                <w:color w:val="auto"/>
                <w:kern w:val="0"/>
                <w:sz w:val="28"/>
                <w:szCs w:val="28"/>
                <w:highlight w:val="none"/>
                <w:u w:val="none" w:color="auto"/>
                <w:lang w:val="en-US" w:eastAsia="zh-CN" w:bidi="ar"/>
              </w:rPr>
            </w:pPr>
            <w:r>
              <w:rPr>
                <w:rFonts w:hint="eastAsia" w:ascii="Times New Roman" w:hAnsi="Times New Roman" w:cs="Times New Roman"/>
                <w:b w:val="0"/>
                <w:bCs w:val="0"/>
                <w:i w:val="0"/>
                <w:iCs w:val="0"/>
                <w:color w:val="auto"/>
                <w:kern w:val="0"/>
                <w:sz w:val="28"/>
                <w:szCs w:val="28"/>
                <w:highlight w:val="none"/>
                <w:u w:val="none" w:color="auto"/>
                <w:lang w:val="en-US" w:eastAsia="zh-CN" w:bidi="ar"/>
              </w:rPr>
              <w:t>2.铁路项目：菏徐铁路及冉堌作业区联运中心项目</w:t>
            </w:r>
          </w:p>
          <w:p w14:paraId="229C9727">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textAlignment w:val="auto"/>
              <w:rPr>
                <w:rFonts w:hint="eastAsia" w:ascii="Times New Roman" w:hAnsi="Times New Roman" w:cs="Times New Roman"/>
                <w:b w:val="0"/>
                <w:bCs w:val="0"/>
                <w:i w:val="0"/>
                <w:iCs w:val="0"/>
                <w:color w:val="auto"/>
                <w:kern w:val="0"/>
                <w:sz w:val="28"/>
                <w:szCs w:val="28"/>
                <w:highlight w:val="none"/>
                <w:u w:val="none" w:color="auto"/>
                <w:lang w:val="en-US" w:eastAsia="zh-CN" w:bidi="ar"/>
              </w:rPr>
            </w:pPr>
            <w:r>
              <w:rPr>
                <w:rFonts w:hint="eastAsia" w:ascii="Times New Roman" w:hAnsi="Times New Roman" w:cs="Times New Roman"/>
                <w:b w:val="0"/>
                <w:bCs w:val="0"/>
                <w:i w:val="0"/>
                <w:iCs w:val="0"/>
                <w:color w:val="auto"/>
                <w:kern w:val="0"/>
                <w:sz w:val="28"/>
                <w:szCs w:val="28"/>
                <w:highlight w:val="none"/>
                <w:u w:val="none" w:color="auto"/>
                <w:lang w:val="en-US" w:eastAsia="zh-CN" w:bidi="ar"/>
              </w:rPr>
              <w:t>3.低空项目：菏泽市定陶区低空经济基础设施建设项目</w:t>
            </w:r>
          </w:p>
          <w:p w14:paraId="28DFD825">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textAlignment w:val="auto"/>
              <w:rPr>
                <w:rFonts w:hint="default" w:ascii="Times New Roman" w:hAnsi="Times New Roman" w:cs="Times New Roman"/>
                <w:b w:val="0"/>
                <w:bCs w:val="0"/>
                <w:i w:val="0"/>
                <w:iCs w:val="0"/>
                <w:color w:val="auto"/>
                <w:kern w:val="0"/>
                <w:sz w:val="28"/>
                <w:szCs w:val="28"/>
                <w:highlight w:val="none"/>
                <w:u w:val="none" w:color="auto"/>
                <w:lang w:val="en-US" w:eastAsia="zh-CN" w:bidi="ar"/>
              </w:rPr>
            </w:pPr>
            <w:r>
              <w:rPr>
                <w:rFonts w:hint="eastAsia" w:ascii="Times New Roman" w:hAnsi="Times New Roman" w:cs="Times New Roman"/>
                <w:b w:val="0"/>
                <w:bCs w:val="0"/>
                <w:i w:val="0"/>
                <w:iCs w:val="0"/>
                <w:color w:val="auto"/>
                <w:kern w:val="0"/>
                <w:sz w:val="28"/>
                <w:szCs w:val="28"/>
                <w:highlight w:val="none"/>
                <w:u w:val="none" w:color="auto"/>
                <w:lang w:val="en-US" w:eastAsia="zh-CN" w:bidi="ar"/>
              </w:rPr>
              <w:t>4.综合交通枢纽项目：万福新城客运中心建设项目、定陶区绿色低碳提质增效交通信息一体化项目</w:t>
            </w:r>
          </w:p>
        </w:tc>
      </w:tr>
    </w:tbl>
    <w:p w14:paraId="37914BD0">
      <w:pPr>
        <w:shd w:val="clear"/>
        <w:spacing w:line="240" w:lineRule="auto"/>
        <w:ind w:firstLine="632" w:firstLineChars="200"/>
        <w:rPr>
          <w:rFonts w:hint="default" w:ascii="Times New Roman" w:hAnsi="Times New Roman" w:cs="Times New Roman"/>
          <w:b w:val="0"/>
          <w:bCs w:val="0"/>
          <w:color w:val="auto"/>
          <w:spacing w:val="0"/>
          <w:kern w:val="2"/>
          <w:sz w:val="32"/>
          <w:szCs w:val="32"/>
          <w:highlight w:val="none"/>
          <w:u w:val="none" w:color="auto"/>
          <w:lang w:val="en-US" w:eastAsia="zh-CN" w:bidi="ar-SA"/>
        </w:rPr>
      </w:pPr>
      <w:bookmarkStart w:id="67" w:name="_Toc11314"/>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系统提升水安全保障能力</w:t>
      </w:r>
      <w:r>
        <w:rPr>
          <w:rFonts w:hint="default" w:ascii="Times New Roman" w:hAnsi="Times New Roman" w:cs="Times New Roman"/>
          <w:b/>
          <w:bCs/>
          <w:color w:val="auto"/>
          <w:spacing w:val="0"/>
          <w:kern w:val="2"/>
          <w:sz w:val="32"/>
          <w:szCs w:val="32"/>
          <w:highlight w:val="none"/>
          <w:u w:val="none" w:color="auto"/>
          <w:lang w:val="en-US" w:eastAsia="zh-CN" w:bidi="ar-SA"/>
        </w:rPr>
        <w:t>。</w:t>
      </w:r>
      <w:r>
        <w:rPr>
          <w:rFonts w:hint="default" w:ascii="Times New Roman" w:hAnsi="Times New Roman" w:cs="Times New Roman"/>
          <w:b w:val="0"/>
          <w:bCs w:val="0"/>
          <w:color w:val="auto"/>
          <w:spacing w:val="0"/>
          <w:kern w:val="2"/>
          <w:sz w:val="32"/>
          <w:szCs w:val="32"/>
          <w:highlight w:val="none"/>
          <w:u w:val="none" w:color="auto"/>
          <w:lang w:val="en-US" w:eastAsia="zh-CN" w:bidi="ar-SA"/>
        </w:rPr>
        <w:t>全面提升水旱灾害防御能力，强化雨情、水情、涝情监测预警，加强河湖、水闸、排水管网、泵站等设施的联排联调。</w:t>
      </w:r>
      <w:r>
        <w:rPr>
          <w:rFonts w:hint="default" w:ascii="Times New Roman" w:hAnsi="Times New Roman" w:cs="Times New Roman"/>
          <w:color w:val="auto"/>
          <w:highlight w:val="none"/>
          <w:lang w:val="en-US" w:eastAsia="zh-CN"/>
        </w:rPr>
        <w:t>实施</w:t>
      </w:r>
      <w:r>
        <w:rPr>
          <w:rFonts w:hint="default" w:ascii="Times New Roman" w:hAnsi="Times New Roman" w:cs="Times New Roman"/>
          <w:b w:val="0"/>
          <w:bCs w:val="0"/>
          <w:color w:val="auto"/>
          <w:spacing w:val="0"/>
          <w:kern w:val="2"/>
          <w:sz w:val="32"/>
          <w:szCs w:val="32"/>
          <w:highlight w:val="none"/>
          <w:u w:val="none" w:color="auto"/>
          <w:lang w:val="en-US" w:eastAsia="zh-CN" w:bidi="ar-SA"/>
        </w:rPr>
        <w:t>城区水系连通与生态景观工程，推进菏曹运河、定陶新河、南护城河、东护城河等主要河道的连通与拓宽，修建沿河步道与景观带。加强城乡供水安全保障，强化城区供水管理与水质监测，优化工艺设施，全面摸排城乡供水管网现状，制定并推进老旧管网更新改造规划，完善水质监测网络布局。强化水资源集约节约利用，严格执行水资源消耗总量与强度双控，建立地下水取水总量与水位双控指标体系。推进区域水权、取水权等市场化交易改革，健全并实施农业、工业、城镇等各领域节水标准。完善节水激励机制，鼓励社会资本参与。深化城市水环境治理，加强雨污管网巡查检修与常态化清淤维护，系统制定管网改建与修复方案，有序推进城区道路缺失管网建设及老旧管网更新改造。</w:t>
      </w:r>
    </w:p>
    <w:p w14:paraId="25491F8E">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w:t>
      </w:r>
      <w:r>
        <w:rPr>
          <w:rFonts w:hint="eastAsia" w:ascii="Times New Roman" w:hAnsi="Times New Roman" w:eastAsia="黑体" w:cs="Times New Roman"/>
          <w:color w:val="auto"/>
          <w:spacing w:val="0"/>
          <w:sz w:val="28"/>
          <w:szCs w:val="28"/>
          <w:highlight w:val="none"/>
          <w:u w:val="none" w:color="auto"/>
          <w:lang w:val="en-US" w:eastAsia="zh-CN"/>
        </w:rPr>
        <w:t>8</w:t>
      </w:r>
      <w:r>
        <w:rPr>
          <w:rFonts w:hint="default" w:ascii="Times New Roman" w:hAnsi="Times New Roman" w:eastAsia="黑体" w:cs="Times New Roman"/>
          <w:color w:val="auto"/>
          <w:spacing w:val="0"/>
          <w:sz w:val="28"/>
          <w:szCs w:val="28"/>
          <w:highlight w:val="none"/>
          <w:u w:val="none" w:color="auto"/>
          <w:lang w:val="en-US" w:eastAsia="zh-CN"/>
        </w:rPr>
        <w:t xml:space="preserve"> 重点水安全保障工程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C98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9060" w:type="dxa"/>
          </w:tcPr>
          <w:p w14:paraId="6F7E7513">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textAlignment w:val="auto"/>
              <w:rPr>
                <w:rFonts w:hint="default" w:ascii="Times New Roman" w:hAnsi="Times New Roman" w:eastAsia="仿宋_GB2312" w:cs="Times New Roman"/>
                <w:color w:val="auto"/>
                <w:kern w:val="2"/>
                <w:sz w:val="28"/>
                <w:szCs w:val="28"/>
                <w:highlight w:val="none"/>
                <w:u w:val="none" w:color="auto"/>
                <w:lang w:val="en-US" w:eastAsia="zh-CN" w:bidi="ar-SA"/>
              </w:rPr>
            </w:pPr>
            <w:r>
              <w:rPr>
                <w:rFonts w:hint="default" w:ascii="Times New Roman" w:hAnsi="Times New Roman" w:eastAsia="楷体_GB2312" w:cs="Times New Roman"/>
                <w:b w:val="0"/>
                <w:bCs w:val="0"/>
                <w:color w:val="auto"/>
                <w:kern w:val="2"/>
                <w:sz w:val="28"/>
                <w:szCs w:val="28"/>
                <w:highlight w:val="none"/>
                <w:u w:val="none" w:color="auto"/>
                <w:lang w:val="en-US" w:eastAsia="zh-CN" w:bidi="ar-SA"/>
              </w:rPr>
              <w:t>1.重点水利工程建设。</w:t>
            </w:r>
            <w:r>
              <w:rPr>
                <w:rFonts w:hint="default" w:ascii="Times New Roman" w:hAnsi="Times New Roman" w:eastAsia="仿宋_GB2312" w:cs="Times New Roman"/>
                <w:b w:val="0"/>
                <w:bCs w:val="0"/>
                <w:color w:val="auto"/>
                <w:kern w:val="2"/>
                <w:sz w:val="28"/>
                <w:szCs w:val="28"/>
                <w:highlight w:val="none"/>
                <w:u w:val="none" w:color="auto"/>
                <w:lang w:val="en-US" w:eastAsia="zh-CN" w:bidi="ar-SA"/>
              </w:rPr>
              <w:t>推动</w:t>
            </w:r>
            <w:r>
              <w:rPr>
                <w:rFonts w:hint="eastAsia" w:ascii="Times New Roman" w:hAnsi="Times New Roman" w:cs="Times New Roman"/>
                <w:color w:val="auto"/>
                <w:kern w:val="2"/>
                <w:sz w:val="28"/>
                <w:szCs w:val="28"/>
                <w:highlight w:val="none"/>
                <w:u w:val="none" w:color="auto"/>
                <w:lang w:val="en-US" w:eastAsia="zh-CN" w:bidi="ar-SA"/>
              </w:rPr>
              <w:t>菏泽市定陶区再生水利用工程、菏泽市定陶区智能化供水工程、定陶城区排水设施提升改造工程、定陶润鑫化工产业园排污管道建设项目、定陶区美丽乡村提升改造项目等</w:t>
            </w:r>
            <w:r>
              <w:rPr>
                <w:rFonts w:hint="default" w:ascii="Times New Roman" w:hAnsi="Times New Roman" w:eastAsia="仿宋_GB2312" w:cs="Times New Roman"/>
                <w:color w:val="auto"/>
                <w:kern w:val="2"/>
                <w:sz w:val="28"/>
                <w:szCs w:val="28"/>
                <w:highlight w:val="none"/>
                <w:u w:val="none" w:color="auto"/>
                <w:lang w:val="en-US" w:eastAsia="zh-CN" w:bidi="ar-SA"/>
              </w:rPr>
              <w:t>供水保障工程、水库移民工程等重点水利工程建设</w:t>
            </w:r>
            <w:r>
              <w:rPr>
                <w:rFonts w:hint="eastAsia" w:ascii="Times New Roman" w:hAnsi="Times New Roman" w:cs="Times New Roman"/>
                <w:color w:val="auto"/>
                <w:kern w:val="2"/>
                <w:sz w:val="28"/>
                <w:szCs w:val="28"/>
                <w:highlight w:val="none"/>
                <w:u w:val="none" w:color="auto"/>
                <w:lang w:val="en-US" w:eastAsia="zh-CN" w:bidi="ar-SA"/>
              </w:rPr>
              <w:t>。</w:t>
            </w:r>
          </w:p>
          <w:p w14:paraId="367F3C02">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textAlignment w:val="auto"/>
              <w:rPr>
                <w:rFonts w:hint="default" w:ascii="Times New Roman" w:hAnsi="Times New Roman" w:eastAsia="楷体_GB2312" w:cs="Times New Roman"/>
                <w:color w:val="auto"/>
                <w:spacing w:val="0"/>
                <w:sz w:val="28"/>
                <w:szCs w:val="28"/>
                <w:highlight w:val="none"/>
                <w:u w:val="none" w:color="auto"/>
                <w:lang w:val="en-US" w:eastAsia="zh-CN"/>
              </w:rPr>
            </w:pPr>
            <w:r>
              <w:rPr>
                <w:rFonts w:hint="default" w:ascii="Times New Roman" w:hAnsi="Times New Roman" w:eastAsia="楷体_GB2312" w:cs="Times New Roman"/>
                <w:b w:val="0"/>
                <w:bCs w:val="0"/>
                <w:color w:val="auto"/>
                <w:kern w:val="2"/>
                <w:sz w:val="28"/>
                <w:szCs w:val="28"/>
                <w:highlight w:val="none"/>
                <w:u w:val="none" w:color="auto"/>
                <w:lang w:val="en-US" w:eastAsia="zh-CN" w:bidi="ar-SA"/>
              </w:rPr>
              <w:t>2.河湖长制工作。</w:t>
            </w:r>
            <w:r>
              <w:rPr>
                <w:rFonts w:hint="default" w:ascii="Times New Roman" w:hAnsi="Times New Roman" w:eastAsia="仿宋_GB2312" w:cs="Times New Roman"/>
                <w:color w:val="auto"/>
                <w:kern w:val="2"/>
                <w:sz w:val="28"/>
                <w:szCs w:val="28"/>
                <w:highlight w:val="none"/>
                <w:u w:val="none" w:color="auto"/>
                <w:lang w:val="en-US" w:eastAsia="zh-CN" w:bidi="ar-SA"/>
              </w:rPr>
              <w:t>进一步压实各级河长职责，督促各级河长尤其是镇、村两级河长主动履职担责。充分发挥河长办的平台作用，不断提高河长制的凝聚力、协同性，强化系统治理理念，扎实推进河流水域岸线综合整治。</w:t>
            </w:r>
          </w:p>
        </w:tc>
      </w:tr>
    </w:tbl>
    <w:p w14:paraId="7C818E45">
      <w:pPr>
        <w:shd w:val="clea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适度超前开展新型基础设施建设</w:t>
      </w:r>
      <w:bookmarkEnd w:id="67"/>
      <w:r>
        <w:rPr>
          <w:rFonts w:hint="default" w:ascii="Times New Roman" w:hAnsi="Times New Roman" w:eastAsia="仿宋_GB2312" w:cs="Times New Roman"/>
          <w:b/>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加强“5G</w:t>
      </w:r>
      <w:r>
        <w:rPr>
          <w:rFonts w:hint="default" w:ascii="Times New Roman" w:hAnsi="Times New Roman" w:cs="Times New Roman"/>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kern w:val="2"/>
          <w:sz w:val="32"/>
          <w:szCs w:val="32"/>
          <w:highlight w:val="none"/>
          <w:u w:val="none" w:color="auto"/>
          <w:lang w:val="en-US" w:eastAsia="zh-CN" w:bidi="ar-SA"/>
        </w:rPr>
        <w:t>互联网”技术应用，强化数字化基础设施建设</w:t>
      </w:r>
      <w:r>
        <w:rPr>
          <w:rFonts w:hint="default" w:ascii="Times New Roman" w:hAnsi="Times New Roman" w:cs="Times New Roman"/>
          <w:color w:val="auto"/>
          <w:spacing w:val="0"/>
          <w:kern w:val="2"/>
          <w:sz w:val="32"/>
          <w:szCs w:val="32"/>
          <w:highlight w:val="none"/>
          <w:u w:val="none" w:color="auto"/>
          <w:lang w:val="en-US" w:eastAsia="zh-CN" w:bidi="ar-SA"/>
        </w:rPr>
        <w:t>，不断</w:t>
      </w:r>
      <w:r>
        <w:rPr>
          <w:rFonts w:hint="default" w:ascii="Times New Roman" w:hAnsi="Times New Roman" w:eastAsia="仿宋_GB2312" w:cs="Times New Roman"/>
          <w:color w:val="auto"/>
          <w:spacing w:val="0"/>
          <w:kern w:val="2"/>
          <w:sz w:val="32"/>
          <w:szCs w:val="32"/>
          <w:highlight w:val="none"/>
          <w:u w:val="none" w:color="auto"/>
          <w:lang w:val="en-US" w:eastAsia="zh-CN" w:bidi="ar-SA"/>
        </w:rPr>
        <w:t>提升数字化、信息化、智能化水平。有效利用5G、北斗、云计算、大数据、物联网、人工智能、区块链等信息化技术，融合发展政务服务“一网通办”、城市运行社会治理“一网统管”、数字技术全面赋能，带动一批相关中小企业，加快工业化、城镇化、农业现代化融合，增强城市可持续发展能</w:t>
      </w:r>
      <w:r>
        <w:rPr>
          <w:rFonts w:hint="default" w:ascii="Times New Roman" w:hAnsi="Times New Roman" w:eastAsia="仿宋_GB2312" w:cs="Times New Roman"/>
          <w:color w:val="auto"/>
          <w:spacing w:val="0"/>
          <w:sz w:val="32"/>
          <w:szCs w:val="32"/>
          <w:highlight w:val="none"/>
          <w:u w:val="none" w:color="auto"/>
          <w:lang w:eastAsia="zh-CN"/>
        </w:rPr>
        <w:t>力。</w:t>
      </w:r>
    </w:p>
    <w:p w14:paraId="4706AE51">
      <w:pPr>
        <w:keepNext w:val="0"/>
        <w:keepLines w:val="0"/>
        <w:pageBreakBefore w:val="0"/>
        <w:shd w:val="clear"/>
        <w:kinsoku/>
        <w:wordWrap/>
        <w:overflowPunct w:val="0"/>
        <w:topLinePunct w:val="0"/>
        <w:autoSpaceDE/>
        <w:autoSpaceDN/>
        <w:bidi w:val="0"/>
        <w:adjustRightInd/>
        <w:snapToGrid/>
        <w:spacing w:line="240" w:lineRule="auto"/>
        <w:ind w:firstLine="632" w:firstLineChars="200"/>
        <w:jc w:val="both"/>
        <w:textAlignment w:val="auto"/>
        <w:rPr>
          <w:rFonts w:hint="default" w:ascii="Times New Roman" w:hAnsi="Times New Roman" w:eastAsia="仿宋_GB2312" w:cs="Times New Roman"/>
          <w:color w:val="auto"/>
          <w:spacing w:val="0"/>
          <w:sz w:val="32"/>
          <w:szCs w:val="32"/>
          <w:highlight w:val="none"/>
          <w:u w:val="none" w:color="auto"/>
          <w:lang w:eastAsia="zh-CN"/>
        </w:rPr>
      </w:pPr>
    </w:p>
    <w:p w14:paraId="3D71788F">
      <w:pPr>
        <w:shd w:val="clear"/>
        <w:overflowPunct w:val="0"/>
        <w:spacing w:line="240" w:lineRule="auto"/>
        <w:rPr>
          <w:rStyle w:val="19"/>
          <w:rFonts w:hint="default" w:ascii="Times New Roman" w:hAnsi="Times New Roman" w:eastAsia="黑体"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黑体" w:cs="Times New Roman"/>
          <w:b w:val="0"/>
          <w:bCs w:val="0"/>
          <w:i w:val="0"/>
          <w:iCs w:val="0"/>
          <w:caps w:val="0"/>
          <w:color w:val="auto"/>
          <w:spacing w:val="0"/>
          <w:sz w:val="32"/>
          <w:szCs w:val="32"/>
          <w:highlight w:val="none"/>
          <w:u w:val="none" w:color="auto"/>
          <w:shd w:val="clear" w:fill="FFFFFF"/>
          <w:lang w:val="en-US" w:eastAsia="zh-CN"/>
        </w:rPr>
        <w:br w:type="page"/>
      </w:r>
    </w:p>
    <w:p w14:paraId="634F389A">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68" w:name="_Toc1716844361"/>
      <w:bookmarkStart w:id="69" w:name="_Toc31876"/>
      <w:bookmarkStart w:id="70" w:name="_Toc31128"/>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第七章 全面推进乡村振兴 加快农业农村现代化</w:t>
      </w:r>
      <w:bookmarkEnd w:id="68"/>
      <w:bookmarkEnd w:id="69"/>
      <w:bookmarkEnd w:id="70"/>
    </w:p>
    <w:p w14:paraId="3483B4D2">
      <w:pPr>
        <w:ind w:firstLine="632" w:firstLineChars="200"/>
        <w:rPr>
          <w:rFonts w:hint="default" w:ascii="Times New Roman" w:hAnsi="Times New Roman" w:cs="Times New Roman"/>
          <w:color w:val="auto"/>
          <w:lang w:eastAsia="zh-CN"/>
        </w:rPr>
      </w:pPr>
      <w:r>
        <w:rPr>
          <w:rFonts w:hint="default" w:ascii="Times New Roman" w:hAnsi="Times New Roman" w:cs="Times New Roman"/>
          <w:color w:val="auto"/>
          <w:lang w:eastAsia="zh-CN"/>
        </w:rPr>
        <w:t>坚持农业农村优先发展，</w:t>
      </w:r>
      <w:r>
        <w:rPr>
          <w:rFonts w:hint="default" w:ascii="Times New Roman" w:hAnsi="Times New Roman" w:cs="Times New Roman"/>
          <w:color w:val="auto"/>
          <w:lang w:val="en-US" w:eastAsia="zh-CN"/>
        </w:rPr>
        <w:t>把解决好“三农”问题作为工作重中之重，统筹推进农业产业向绿向强，农村环境向美向和，农民生活向好向富，持续巩固拓展脱贫攻坚成果，奋力推动乡村全面振兴取得突破性进展。</w:t>
      </w:r>
    </w:p>
    <w:p w14:paraId="1A918AF5">
      <w:pPr>
        <w:spacing w:line="240" w:lineRule="auto"/>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71" w:name="_Toc1273738214"/>
      <w:bookmarkStart w:id="72" w:name="_Toc11100"/>
      <w:bookmarkStart w:id="73" w:name="_Toc28257"/>
      <w:bookmarkStart w:id="74" w:name="_Toc28729"/>
      <w:bookmarkStart w:id="75" w:name="_Toc18216"/>
      <w:bookmarkStart w:id="76" w:name="_Toc4742"/>
      <w:bookmarkStart w:id="77" w:name="_Toc31166"/>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提高农业质量效益和竞争力</w:t>
      </w:r>
      <w:bookmarkEnd w:id="71"/>
      <w:bookmarkEnd w:id="72"/>
      <w:bookmarkEnd w:id="73"/>
      <w:bookmarkEnd w:id="74"/>
      <w:bookmarkEnd w:id="75"/>
    </w:p>
    <w:p w14:paraId="2B42495C">
      <w:pPr>
        <w:ind w:firstLine="632" w:firstLineChars="200"/>
        <w:rPr>
          <w:rStyle w:val="19"/>
          <w:rFonts w:hint="default" w:ascii="Times New Roman" w:hAnsi="Times New Roman" w:eastAsia="仿宋_GB2312" w:cs="Times New Roman"/>
          <w:b w:val="0"/>
          <w:bCs/>
          <w:color w:val="auto"/>
          <w:sz w:val="32"/>
          <w:szCs w:val="32"/>
          <w:highlight w:val="none"/>
          <w:u w:val="none" w:color="auto"/>
          <w:shd w:val="clear" w:fill="FFFFFF"/>
          <w:lang w:val="en-US" w:eastAsia="zh-CN"/>
        </w:rPr>
      </w:pPr>
      <w:r>
        <w:rPr>
          <w:rStyle w:val="19"/>
          <w:rFonts w:hint="default" w:ascii="Times New Roman" w:hAnsi="Times New Roman" w:eastAsia="仿宋_GB2312" w:cs="Times New Roman"/>
          <w:b w:val="0"/>
          <w:bCs/>
          <w:color w:val="auto"/>
          <w:sz w:val="32"/>
          <w:szCs w:val="32"/>
          <w:highlight w:val="none"/>
          <w:u w:val="none" w:color="auto"/>
          <w:shd w:val="clear" w:fill="FFFFFF"/>
          <w:lang w:val="en-US" w:eastAsia="zh-CN"/>
        </w:rPr>
        <w:t>牢固树立大农业观、大食物观，统筹发展科技农业、绿色农业、质量农业、品牌农业，全链条加快推进农业产业体系升级，持续增强农业核心竞争力。</w:t>
      </w:r>
    </w:p>
    <w:p w14:paraId="62A5E35E">
      <w:pPr>
        <w:ind w:firstLine="632" w:firstLineChars="200"/>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cs="Times New Roman"/>
          <w:b/>
          <w:bCs w:val="0"/>
          <w:i w:val="0"/>
          <w:iCs w:val="0"/>
          <w:caps w:val="0"/>
          <w:color w:val="auto"/>
          <w:spacing w:val="0"/>
          <w:kern w:val="0"/>
          <w:sz w:val="32"/>
          <w:szCs w:val="32"/>
          <w:highlight w:val="none"/>
          <w:u w:val="none" w:color="auto"/>
          <w:shd w:val="clear" w:color="auto" w:fill="FFFFFF"/>
          <w:lang w:val="en-US" w:eastAsia="zh-CN" w:bidi="ar"/>
        </w:rPr>
        <w:t>筑牢粮食安全根基</w:t>
      </w:r>
      <w:r>
        <w:rPr>
          <w:rStyle w:val="19"/>
          <w:rFonts w:hint="default" w:ascii="Times New Roman" w:hAnsi="Times New Roman" w:cs="Times New Roman"/>
          <w:b w:val="0"/>
          <w:bCs/>
          <w:i w:val="0"/>
          <w:iCs w:val="0"/>
          <w:caps w:val="0"/>
          <w:color w:val="auto"/>
          <w:spacing w:val="0"/>
          <w:kern w:val="0"/>
          <w:sz w:val="32"/>
          <w:szCs w:val="32"/>
          <w:highlight w:val="none"/>
          <w:u w:val="none" w:color="auto"/>
          <w:shd w:val="clear" w:color="auto" w:fill="FFFFFF"/>
          <w:lang w:val="en-US" w:eastAsia="zh-CN" w:bidi="ar"/>
        </w:rPr>
        <w:t>。</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color="auto" w:fill="FFFFFF"/>
          <w:lang w:val="en-US" w:eastAsia="zh-CN" w:bidi="ar"/>
        </w:rPr>
        <w:t>坚决扛牢粮食安全政治责任，严守耕地保护红线，确保粮食播种面积稳定。</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color="auto" w:fill="FFFFFF"/>
          <w:lang w:eastAsia="zh-CN"/>
        </w:rPr>
        <w:t>持续推进高标准农田建设和改造提升</w:t>
      </w:r>
      <w:r>
        <w:rPr>
          <w:rStyle w:val="19"/>
          <w:rFonts w:hint="default" w:ascii="Times New Roman" w:hAnsi="Times New Roman" w:cs="Times New Roman"/>
          <w:b w:val="0"/>
          <w:bCs w:val="0"/>
          <w:i w:val="0"/>
          <w:iCs w:val="0"/>
          <w:caps w:val="0"/>
          <w:color w:val="auto"/>
          <w:spacing w:val="0"/>
          <w:sz w:val="32"/>
          <w:szCs w:val="32"/>
          <w:highlight w:val="none"/>
          <w:u w:val="none" w:color="auto"/>
          <w:shd w:val="clear" w:color="auto" w:fill="FFFFFF"/>
          <w:lang w:eastAsia="zh-CN"/>
        </w:rPr>
        <w:t>，</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全面推广网格化群众自护等创新模式，用好“良田良种良机良法”融合技术，全力打造“吨粮”“吨半粮”示范区。到2030年，全区耕地保有量不低于73.51万亩，力争新建和改造提升高标准农田26万亩。</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color="auto" w:fill="FFFFFF"/>
          <w:lang w:val="en-US" w:eastAsia="zh-CN" w:bidi="ar"/>
        </w:rPr>
        <w:t>严格落实耕地地力补贴、农机购置补贴等惠农政策，强化价格、保险政策协同，保护农民种粮基本权益。积极引进农副产品加工企业，推动粮食产业从生产环节向加工、流通、品牌化运营延伸。强化粮食购销储备管理，高标准完成粮食储备管理中心5万吨绿色粮库工程建设，稳步推进粮食储备管理中心等粮库绿色化、智能化改造。</w:t>
      </w:r>
    </w:p>
    <w:p w14:paraId="5F956E10">
      <w:pPr>
        <w:ind w:firstLine="632" w:firstLineChars="200"/>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cs="Times New Roman"/>
          <w:bCs/>
          <w:i w:val="0"/>
          <w:iCs w:val="0"/>
          <w:caps w:val="0"/>
          <w:color w:val="auto"/>
          <w:spacing w:val="0"/>
          <w:kern w:val="0"/>
          <w:sz w:val="32"/>
          <w:szCs w:val="32"/>
          <w:highlight w:val="none"/>
          <w:u w:val="none" w:color="auto"/>
          <w:shd w:val="clear" w:fill="FFFFFF"/>
          <w:lang w:val="en-US" w:eastAsia="zh-CN" w:bidi="ar"/>
        </w:rPr>
        <w:t>发展特色现代农业</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坚持产量产能、生产生态、增产增收相统一，统筹推进科技农业、绿色农业、质量农业、品牌农业协同发展。依托“智惠乡村”工作站，整合技术、人才、市场等资源要素，聚焦果蔬花卉、特色山药等优势品类，做大做强农业特色产业。围绕牡丹芍药产业，紧抓“中国牡丹之都”建设契机，依托定陶区资源禀赋，着力延伸产业链条，发展牡丹芍药食品、功能食品等精深加工，推动“牡丹+”等企业合作模式，强化“牡丹之都”IP培育与运营，提升产业附加值。加强农业品牌建设，依托“齐鲁云采”等电商平台，深挖“土特产”资源，推动早春西瓜、</w:t>
      </w:r>
      <w:r>
        <w:rPr>
          <w:rFonts w:hint="default" w:ascii="Times New Roman" w:hAnsi="Times New Roman" w:cs="Times New Roman"/>
          <w:color w:val="auto"/>
          <w:spacing w:val="5"/>
          <w:kern w:val="2"/>
          <w:sz w:val="32"/>
          <w:szCs w:val="32"/>
          <w:highlight w:val="none"/>
          <w:u w:val="none" w:color="auto"/>
          <w:shd w:val="clear"/>
          <w:lang w:val="en-US" w:eastAsia="zh-CN" w:bidi="ar-SA"/>
        </w:rPr>
        <w:t>黄店</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lang w:val="en-US" w:eastAsia="zh-CN" w:bidi="ar"/>
        </w:rPr>
        <w:t>玫瑰、</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定陶山药等本土优质农副产品品牌化、电商化发展，完善从种植、加工到营销的全产业链条。推动玫瑰产业规模化、标准化发展，提升品牌影响力，振兴定陶山药产业，通过品种改良、技术提升、渠道拓展等方式，重塑其在全国市场的竞争力。积极推动胡萝卜等特色品种的规模化种植，借助引进的深圳企业等市场力量，提升产业技术水平和市场竞争力，形成多条特色产业并进、产业链供应链协同的发展格局。打造半堤绿色种植特色小镇，推动黄店镇国家级农产品批发市场改造升级，探索农村一二三产业融合新路径。</w:t>
      </w:r>
    </w:p>
    <w:p w14:paraId="7C934C2F">
      <w:pPr>
        <w:jc w:val="center"/>
        <w:rPr>
          <w:rFonts w:hint="eastAsia" w:ascii="黑体" w:hAnsi="黑体" w:eastAsia="黑体" w:cs="黑体"/>
          <w:color w:val="auto"/>
          <w:spacing w:val="0"/>
          <w:sz w:val="28"/>
          <w:szCs w:val="28"/>
          <w:highlight w:val="none"/>
          <w:u w:val="none" w:color="auto"/>
          <w:lang w:val="en-US" w:eastAsia="zh-CN"/>
        </w:rPr>
      </w:pPr>
      <w:r>
        <w:rPr>
          <w:rFonts w:hint="eastAsia" w:ascii="黑体" w:hAnsi="黑体" w:eastAsia="黑体" w:cs="黑体"/>
          <w:color w:val="auto"/>
          <w:spacing w:val="0"/>
          <w:sz w:val="28"/>
          <w:szCs w:val="28"/>
          <w:highlight w:val="none"/>
          <w:u w:val="none" w:color="auto"/>
          <w:lang w:val="en-US" w:eastAsia="zh-CN"/>
        </w:rPr>
        <w:t>专栏9 特色现代农业空间布局</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BD1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14:paraId="51F9B5EF">
            <w:pPr>
              <w:keepNext w:val="0"/>
              <w:keepLines w:val="0"/>
              <w:pageBreakBefore w:val="0"/>
              <w:widowControl w:val="0"/>
              <w:shd w:val="clear"/>
              <w:kinsoku/>
              <w:wordWrap/>
              <w:overflowPunct w:val="0"/>
              <w:topLinePunct w:val="0"/>
              <w:autoSpaceDE/>
              <w:autoSpaceDN/>
              <w:bidi w:val="0"/>
              <w:adjustRightInd/>
              <w:snapToGrid/>
              <w:spacing w:line="500" w:lineRule="exact"/>
              <w:ind w:firstLine="552" w:firstLineChars="200"/>
              <w:jc w:val="both"/>
              <w:textAlignment w:val="auto"/>
              <w:rPr>
                <w:rFonts w:hint="eastAsia" w:ascii="仿宋_GB2312" w:hAnsi="仿宋_GB2312" w:eastAsia="仿宋_GB2312" w:cs="仿宋_GB2312"/>
                <w:color w:val="auto"/>
                <w:sz w:val="28"/>
                <w:szCs w:val="28"/>
                <w:highlight w:val="none"/>
                <w:u w:val="none" w:color="auto"/>
                <w:lang w:val="en-US" w:eastAsia="zh-CN"/>
              </w:rPr>
            </w:pPr>
            <w:r>
              <w:rPr>
                <w:rFonts w:hint="eastAsia" w:ascii="仿宋_GB2312" w:hAnsi="仿宋_GB2312" w:eastAsia="仿宋_GB2312" w:cs="仿宋_GB2312"/>
                <w:color w:val="auto"/>
                <w:sz w:val="28"/>
                <w:szCs w:val="28"/>
                <w:highlight w:val="none"/>
                <w:u w:val="none" w:color="auto"/>
                <w:lang w:val="en-US" w:eastAsia="zh-CN"/>
              </w:rPr>
              <w:t>探索“片区联动</w:t>
            </w:r>
            <w:r>
              <w:rPr>
                <w:rFonts w:hint="eastAsia" w:ascii="仿宋_GB2312" w:hAnsi="仿宋_GB2312" w:eastAsia="仿宋_GB2312" w:cs="仿宋_GB2312"/>
                <w:b/>
                <w:bCs/>
                <w:color w:val="auto"/>
                <w:sz w:val="28"/>
                <w:szCs w:val="28"/>
                <w:highlight w:val="none"/>
                <w:u w:val="none" w:color="auto"/>
                <w:lang w:val="en-US" w:eastAsia="zh-CN"/>
              </w:rPr>
              <w:t>·</w:t>
            </w:r>
            <w:r>
              <w:rPr>
                <w:rFonts w:hint="eastAsia" w:ascii="仿宋_GB2312" w:hAnsi="仿宋_GB2312" w:eastAsia="仿宋_GB2312" w:cs="仿宋_GB2312"/>
                <w:color w:val="auto"/>
                <w:sz w:val="28"/>
                <w:szCs w:val="28"/>
                <w:highlight w:val="none"/>
                <w:u w:val="none" w:color="auto"/>
                <w:lang w:val="en-US" w:eastAsia="zh-CN"/>
              </w:rPr>
              <w:t>全链赋能</w:t>
            </w:r>
            <w:r>
              <w:rPr>
                <w:rFonts w:hint="eastAsia" w:ascii="仿宋_GB2312" w:hAnsi="仿宋_GB2312" w:eastAsia="仿宋_GB2312" w:cs="仿宋_GB2312"/>
                <w:b/>
                <w:bCs/>
                <w:color w:val="auto"/>
                <w:sz w:val="28"/>
                <w:szCs w:val="28"/>
                <w:highlight w:val="none"/>
                <w:u w:val="none" w:color="auto"/>
                <w:lang w:val="en-US" w:eastAsia="zh-CN"/>
              </w:rPr>
              <w:t>·</w:t>
            </w:r>
            <w:r>
              <w:rPr>
                <w:rFonts w:hint="eastAsia" w:ascii="仿宋_GB2312" w:hAnsi="仿宋_GB2312" w:eastAsia="仿宋_GB2312" w:cs="仿宋_GB2312"/>
                <w:color w:val="auto"/>
                <w:sz w:val="28"/>
                <w:szCs w:val="28"/>
                <w:highlight w:val="none"/>
                <w:u w:val="none" w:color="auto"/>
                <w:lang w:val="en-US" w:eastAsia="zh-CN"/>
              </w:rPr>
              <w:t>联农共富”定陶农业农村现代化发展新模式，构建“一核引领、片区联动、全域协同”总体农业产业空间布局。</w:t>
            </w:r>
          </w:p>
          <w:p w14:paraId="353D4D62">
            <w:pPr>
              <w:keepNext w:val="0"/>
              <w:keepLines w:val="0"/>
              <w:pageBreakBefore w:val="0"/>
              <w:widowControl w:val="0"/>
              <w:shd w:val="clear"/>
              <w:kinsoku/>
              <w:wordWrap/>
              <w:topLinePunct w:val="0"/>
              <w:autoSpaceDE/>
              <w:autoSpaceDN/>
              <w:bidi w:val="0"/>
              <w:adjustRightInd/>
              <w:snapToGrid/>
              <w:spacing w:line="500" w:lineRule="exact"/>
              <w:ind w:firstLine="552" w:firstLineChars="200"/>
              <w:jc w:val="both"/>
              <w:textAlignment w:val="auto"/>
              <w:rPr>
                <w:rFonts w:hint="eastAsia" w:ascii="仿宋_GB2312" w:hAnsi="仿宋_GB2312" w:eastAsia="仿宋_GB2312" w:cs="仿宋_GB2312"/>
                <w:color w:val="auto"/>
                <w:sz w:val="28"/>
                <w:szCs w:val="28"/>
                <w:highlight w:val="none"/>
                <w:u w:val="none" w:color="auto"/>
                <w:lang w:val="en-US" w:eastAsia="zh-CN"/>
              </w:rPr>
            </w:pPr>
            <w:r>
              <w:rPr>
                <w:rFonts w:hint="eastAsia" w:ascii="楷体_GB2312" w:hAnsi="楷体_GB2312" w:eastAsia="楷体_GB2312" w:cs="楷体_GB2312"/>
                <w:b w:val="0"/>
                <w:bCs w:val="0"/>
                <w:color w:val="auto"/>
                <w:sz w:val="28"/>
                <w:szCs w:val="28"/>
                <w:highlight w:val="none"/>
                <w:u w:val="none" w:color="auto"/>
                <w:lang w:val="en-US" w:eastAsia="zh-CN"/>
              </w:rPr>
              <w:t>“一核”</w:t>
            </w:r>
            <w:r>
              <w:rPr>
                <w:rFonts w:hint="eastAsia" w:ascii="仿宋_GB2312" w:hAnsi="仿宋_GB2312" w:eastAsia="仿宋_GB2312" w:cs="仿宋_GB2312"/>
                <w:b w:val="0"/>
                <w:bCs w:val="0"/>
                <w:color w:val="auto"/>
                <w:sz w:val="28"/>
                <w:szCs w:val="28"/>
                <w:highlight w:val="none"/>
                <w:u w:val="none" w:color="auto"/>
                <w:lang w:val="en-US" w:eastAsia="zh-CN"/>
              </w:rPr>
              <w:t>，</w:t>
            </w:r>
            <w:r>
              <w:rPr>
                <w:rFonts w:hint="eastAsia" w:ascii="仿宋_GB2312" w:hAnsi="仿宋_GB2312" w:eastAsia="仿宋_GB2312" w:cs="仿宋_GB2312"/>
                <w:color w:val="auto"/>
                <w:sz w:val="28"/>
                <w:szCs w:val="28"/>
                <w:highlight w:val="none"/>
                <w:u w:val="none" w:color="auto"/>
                <w:lang w:val="en-US" w:eastAsia="zh-CN"/>
              </w:rPr>
              <w:t>将定陶区数字农业服务</w:t>
            </w:r>
            <w:r>
              <w:rPr>
                <w:rFonts w:hint="eastAsia" w:ascii="仿宋_GB2312" w:hAnsi="仿宋_GB2312" w:cs="仿宋_GB2312"/>
                <w:color w:val="auto"/>
                <w:sz w:val="28"/>
                <w:szCs w:val="28"/>
                <w:highlight w:val="none"/>
                <w:u w:val="none" w:color="auto"/>
                <w:lang w:val="en-US" w:eastAsia="zh-CN"/>
              </w:rPr>
              <w:t>中心</w:t>
            </w:r>
            <w:r>
              <w:rPr>
                <w:rFonts w:hint="eastAsia" w:ascii="仿宋_GB2312" w:hAnsi="仿宋_GB2312" w:eastAsia="仿宋_GB2312" w:cs="仿宋_GB2312"/>
                <w:color w:val="auto"/>
                <w:sz w:val="28"/>
                <w:szCs w:val="28"/>
                <w:highlight w:val="none"/>
                <w:u w:val="none" w:color="auto"/>
                <w:lang w:val="en-US" w:eastAsia="zh-CN"/>
              </w:rPr>
              <w:t>作为中枢，整合各类资源打造农业现代化“大脑”，为全域发展提供支撑。</w:t>
            </w:r>
          </w:p>
          <w:p w14:paraId="2EFFCD3E">
            <w:pPr>
              <w:keepNext w:val="0"/>
              <w:keepLines w:val="0"/>
              <w:pageBreakBefore w:val="0"/>
              <w:widowControl w:val="0"/>
              <w:shd w:val="clear"/>
              <w:kinsoku/>
              <w:wordWrap/>
              <w:overflowPunct w:val="0"/>
              <w:topLinePunct w:val="0"/>
              <w:autoSpaceDE/>
              <w:autoSpaceDN/>
              <w:bidi w:val="0"/>
              <w:adjustRightInd/>
              <w:snapToGrid/>
              <w:spacing w:line="500" w:lineRule="exact"/>
              <w:ind w:firstLine="552" w:firstLineChars="200"/>
              <w:jc w:val="both"/>
              <w:textAlignment w:val="auto"/>
              <w:rPr>
                <w:rFonts w:hint="default" w:ascii="Times New Roman" w:hAnsi="Times New Roman" w:eastAsia="仿宋_GB2312" w:cs="Times New Roman"/>
                <w:color w:val="auto"/>
                <w:sz w:val="28"/>
                <w:szCs w:val="28"/>
                <w:highlight w:val="none"/>
                <w:u w:val="none" w:color="auto"/>
                <w:lang w:val="en-US" w:eastAsia="zh-CN"/>
              </w:rPr>
            </w:pPr>
            <w:r>
              <w:rPr>
                <w:rFonts w:hint="default" w:ascii="Times New Roman" w:hAnsi="Times New Roman" w:eastAsia="楷体_GB2312" w:cs="Times New Roman"/>
                <w:b w:val="0"/>
                <w:bCs w:val="0"/>
                <w:color w:val="auto"/>
                <w:sz w:val="28"/>
                <w:szCs w:val="28"/>
                <w:highlight w:val="none"/>
                <w:u w:val="none" w:color="auto"/>
                <w:lang w:val="en-US" w:eastAsia="zh-CN"/>
              </w:rPr>
              <w:t>“片区联动”</w:t>
            </w:r>
            <w:r>
              <w:rPr>
                <w:rFonts w:hint="default" w:ascii="Times New Roman" w:hAnsi="Times New Roman" w:eastAsia="仿宋_GB2312" w:cs="Times New Roman"/>
                <w:b w:val="0"/>
                <w:bCs w:val="0"/>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依托乡村振兴示范片区优化“</w:t>
            </w:r>
            <w:r>
              <w:rPr>
                <w:rFonts w:hint="default" w:ascii="Times New Roman" w:hAnsi="Times New Roman" w:cs="Times New Roman"/>
                <w:color w:val="auto"/>
                <w:sz w:val="28"/>
                <w:szCs w:val="28"/>
                <w:highlight w:val="none"/>
                <w:u w:val="none" w:color="auto"/>
                <w:lang w:val="en-US" w:eastAsia="zh-CN"/>
              </w:rPr>
              <w:t>七</w:t>
            </w:r>
            <w:r>
              <w:rPr>
                <w:rFonts w:hint="default" w:ascii="Times New Roman" w:hAnsi="Times New Roman" w:eastAsia="仿宋_GB2312" w:cs="Times New Roman"/>
                <w:color w:val="auto"/>
                <w:sz w:val="28"/>
                <w:szCs w:val="28"/>
                <w:highlight w:val="none"/>
                <w:u w:val="none" w:color="auto"/>
                <w:lang w:val="en-US" w:eastAsia="zh-CN"/>
              </w:rPr>
              <w:t>业</w:t>
            </w:r>
            <w:r>
              <w:rPr>
                <w:rFonts w:hint="default" w:ascii="Times New Roman" w:hAnsi="Times New Roman" w:cs="Times New Roman"/>
                <w:color w:val="auto"/>
                <w:sz w:val="28"/>
                <w:szCs w:val="28"/>
                <w:highlight w:val="none"/>
                <w:u w:val="none" w:color="auto"/>
                <w:lang w:val="en-US" w:eastAsia="zh-CN"/>
              </w:rPr>
              <w:t>七</w:t>
            </w:r>
            <w:r>
              <w:rPr>
                <w:rFonts w:hint="default" w:ascii="Times New Roman" w:hAnsi="Times New Roman" w:eastAsia="仿宋_GB2312" w:cs="Times New Roman"/>
                <w:color w:val="auto"/>
                <w:sz w:val="28"/>
                <w:szCs w:val="28"/>
                <w:highlight w:val="none"/>
                <w:u w:val="none" w:color="auto"/>
                <w:lang w:val="en-US" w:eastAsia="zh-CN"/>
              </w:rPr>
              <w:t>区”空间布局，布局黄粉虫产业融合、设施蔬菜全链升级、早春西瓜农文旅融合、胡萝卜精深加工、食用菌循环农业、花卉产业示范</w:t>
            </w:r>
            <w:r>
              <w:rPr>
                <w:rFonts w:hint="default" w:ascii="Times New Roman" w:hAnsi="Times New Roman" w:cs="Times New Roman"/>
                <w:color w:val="auto"/>
                <w:sz w:val="28"/>
                <w:szCs w:val="28"/>
                <w:highlight w:val="none"/>
                <w:u w:val="none" w:color="auto"/>
                <w:lang w:val="en-US" w:eastAsia="zh-CN"/>
              </w:rPr>
              <w:t>、水产设施化养殖七</w:t>
            </w:r>
            <w:r>
              <w:rPr>
                <w:rFonts w:hint="default" w:ascii="Times New Roman" w:hAnsi="Times New Roman" w:eastAsia="仿宋_GB2312" w:cs="Times New Roman"/>
                <w:color w:val="auto"/>
                <w:sz w:val="28"/>
                <w:szCs w:val="28"/>
                <w:highlight w:val="none"/>
                <w:u w:val="none" w:color="auto"/>
                <w:lang w:val="en-US" w:eastAsia="zh-CN"/>
              </w:rPr>
              <w:t>大集聚区。黄粉虫产业以仿山、杜堂示范片区为核心，打造“上游夯实基础、中游提质增效、下游拓展价值”的闭环生态，打造全国黄粉虫全链条产业引领区；工厂化育苗和设施蔬菜产业以杜堂、黄店示范片区为载体，联合科研力量引进新品种</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应用新技术，推动黄店镇国家级农产品批发市场改造提升，推进“三品一标”认证</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早春西瓜以南王店示范片区为重点，深化与科研院所合作，引育推广优质新品种，延伸“育苗</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种植</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文旅”链条，力争创建农文旅产业融合示范区</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胡萝卜等</w:t>
            </w:r>
            <w:r>
              <w:rPr>
                <w:rFonts w:hint="default" w:ascii="Times New Roman" w:hAnsi="Times New Roman" w:cs="Times New Roman"/>
                <w:color w:val="auto"/>
                <w:sz w:val="28"/>
                <w:szCs w:val="28"/>
                <w:highlight w:val="none"/>
                <w:u w:val="none" w:color="auto"/>
                <w:lang w:val="en-US" w:eastAsia="zh-CN"/>
              </w:rPr>
              <w:t>绿色</w:t>
            </w:r>
            <w:r>
              <w:rPr>
                <w:rFonts w:hint="default" w:ascii="Times New Roman" w:hAnsi="Times New Roman" w:eastAsia="仿宋_GB2312" w:cs="Times New Roman"/>
                <w:color w:val="auto"/>
                <w:sz w:val="28"/>
                <w:szCs w:val="28"/>
                <w:highlight w:val="none"/>
                <w:u w:val="none" w:color="auto"/>
                <w:lang w:val="en-US" w:eastAsia="zh-CN"/>
              </w:rPr>
              <w:t>蔬菜以半堤示范片区为依托，</w:t>
            </w:r>
            <w:r>
              <w:rPr>
                <w:rFonts w:hint="default" w:ascii="Times New Roman" w:hAnsi="Times New Roman" w:cs="Times New Roman"/>
                <w:color w:val="auto"/>
                <w:sz w:val="28"/>
                <w:szCs w:val="28"/>
                <w:highlight w:val="none"/>
                <w:u w:val="none" w:color="auto"/>
                <w:lang w:val="en-US" w:eastAsia="zh-CN"/>
              </w:rPr>
              <w:t>大力发展都市农业，</w:t>
            </w:r>
            <w:r>
              <w:rPr>
                <w:rFonts w:hint="default" w:ascii="Times New Roman" w:hAnsi="Times New Roman" w:eastAsia="仿宋_GB2312" w:cs="Times New Roman"/>
                <w:color w:val="auto"/>
                <w:sz w:val="28"/>
                <w:szCs w:val="28"/>
                <w:highlight w:val="none"/>
                <w:u w:val="none" w:color="auto"/>
                <w:lang w:val="en-US" w:eastAsia="zh-CN"/>
              </w:rPr>
              <w:t>深挖“半堤胡萝卜”地理标志价值，依托菏泽嘉宏脱水食品有限公司等企业，构建“基地</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企业</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市场”一体化模式，延伸精深加工产业链</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食用菌以天中街道、马集镇示范片区为核心，依托茗嘉兴合作社构建“菌种培育</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规模种植</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订单销售”体系，结合脱水蔬菜加工厂闲置期开展初深加工</w:t>
            </w:r>
            <w:r>
              <w:rPr>
                <w:rFonts w:hint="default" w:ascii="Times New Roman" w:hAnsi="Times New Roman" w:cs="Times New Roman"/>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花卉产业以仿山、黄店示范片区为载体，强化品牌打造与市场拓展，力争将定陶区打造成为鲁西南特色农产品全链升级先行区。</w:t>
            </w:r>
            <w:r>
              <w:rPr>
                <w:rFonts w:hint="default" w:ascii="Times New Roman" w:hAnsi="Times New Roman" w:cs="Times New Roman"/>
                <w:color w:val="auto"/>
                <w:sz w:val="28"/>
                <w:szCs w:val="28"/>
                <w:highlight w:val="none"/>
                <w:u w:val="none" w:color="auto"/>
                <w:lang w:val="en-US" w:eastAsia="zh-CN"/>
              </w:rPr>
              <w:t>水产养殖以冉堌镇示范片区为载体，打造志立水产加州鲈鱼、罗非鱼良种繁育及养殖基地，全面推行“良种繁育、统一供苗、技术指导、资料集采、平台供销”全链条服务，提升水产养殖规范化、标准化、品牌化水平。</w:t>
            </w:r>
          </w:p>
          <w:p w14:paraId="0D4E5AB0">
            <w:pPr>
              <w:keepNext w:val="0"/>
              <w:keepLines w:val="0"/>
              <w:pageBreakBefore w:val="0"/>
              <w:widowControl w:val="0"/>
              <w:shd w:val="clear"/>
              <w:kinsoku/>
              <w:wordWrap/>
              <w:topLinePunct w:val="0"/>
              <w:autoSpaceDE/>
              <w:autoSpaceDN/>
              <w:bidi w:val="0"/>
              <w:adjustRightInd/>
              <w:snapToGrid/>
              <w:spacing w:line="500" w:lineRule="exact"/>
              <w:ind w:firstLine="552" w:firstLineChars="200"/>
              <w:jc w:val="both"/>
              <w:textAlignment w:val="auto"/>
              <w:rPr>
                <w:rStyle w:val="19"/>
                <w:rFonts w:hint="eastAsia" w:ascii="楷体_GB2312" w:hAnsi="楷体_GB2312" w:eastAsia="楷体_GB2312" w:cs="楷体_GB2312"/>
                <w:b w:val="0"/>
                <w:bCs w:val="0"/>
                <w:i w:val="0"/>
                <w:iCs w:val="0"/>
                <w:caps w:val="0"/>
                <w:color w:val="auto"/>
                <w:spacing w:val="0"/>
                <w:sz w:val="28"/>
                <w:szCs w:val="28"/>
                <w:highlight w:val="none"/>
                <w:u w:val="none" w:color="auto"/>
                <w:shd w:val="clear" w:fill="FFFFFF"/>
                <w:vertAlign w:val="baseline"/>
                <w:lang w:eastAsia="zh-CN"/>
              </w:rPr>
            </w:pPr>
            <w:r>
              <w:rPr>
                <w:rFonts w:hint="default" w:ascii="Times New Roman" w:hAnsi="Times New Roman" w:eastAsia="楷体_GB2312" w:cs="Times New Roman"/>
                <w:b w:val="0"/>
                <w:bCs w:val="0"/>
                <w:color w:val="auto"/>
                <w:sz w:val="28"/>
                <w:szCs w:val="28"/>
                <w:highlight w:val="none"/>
                <w:u w:val="none" w:color="auto"/>
                <w:lang w:val="en-US" w:eastAsia="zh-CN"/>
              </w:rPr>
              <w:t>“全区协同”</w:t>
            </w:r>
            <w:r>
              <w:rPr>
                <w:rFonts w:hint="default" w:ascii="Times New Roman" w:hAnsi="Times New Roman" w:eastAsia="仿宋_GB2312" w:cs="Times New Roman"/>
                <w:b w:val="0"/>
                <w:bCs w:val="0"/>
                <w:color w:val="auto"/>
                <w:sz w:val="28"/>
                <w:szCs w:val="28"/>
                <w:highlight w:val="none"/>
                <w:u w:val="none" w:color="auto"/>
                <w:lang w:val="en-US" w:eastAsia="zh-CN"/>
              </w:rPr>
              <w:t>，</w:t>
            </w:r>
            <w:r>
              <w:rPr>
                <w:rFonts w:hint="default" w:ascii="Times New Roman" w:hAnsi="Times New Roman" w:eastAsia="仿宋_GB2312" w:cs="Times New Roman"/>
                <w:color w:val="auto"/>
                <w:sz w:val="28"/>
                <w:szCs w:val="28"/>
                <w:highlight w:val="none"/>
                <w:u w:val="none" w:color="auto"/>
                <w:lang w:val="en-US" w:eastAsia="zh-CN"/>
              </w:rPr>
              <w:t>通过产业联盟、设施互通、服务覆盖，推动</w:t>
            </w:r>
            <w:r>
              <w:rPr>
                <w:rFonts w:hint="default" w:ascii="Times New Roman" w:hAnsi="Times New Roman" w:cs="Times New Roman"/>
                <w:color w:val="auto"/>
                <w:sz w:val="28"/>
                <w:szCs w:val="28"/>
                <w:highlight w:val="none"/>
                <w:u w:val="none" w:color="auto"/>
                <w:lang w:val="en-US" w:eastAsia="zh-CN"/>
              </w:rPr>
              <w:t>七</w:t>
            </w:r>
            <w:r>
              <w:rPr>
                <w:rFonts w:hint="default" w:ascii="Times New Roman" w:hAnsi="Times New Roman" w:eastAsia="仿宋_GB2312" w:cs="Times New Roman"/>
                <w:color w:val="auto"/>
                <w:sz w:val="28"/>
                <w:szCs w:val="28"/>
                <w:highlight w:val="none"/>
                <w:u w:val="none" w:color="auto"/>
                <w:lang w:val="en-US" w:eastAsia="zh-CN"/>
              </w:rPr>
              <w:t>大产业区和341个村居联动，推动粮食产业稳基提质、</w:t>
            </w:r>
            <w:r>
              <w:rPr>
                <w:rFonts w:hint="default" w:ascii="Times New Roman" w:hAnsi="Times New Roman" w:cs="Times New Roman"/>
                <w:color w:val="auto"/>
                <w:sz w:val="28"/>
                <w:szCs w:val="28"/>
                <w:highlight w:val="none"/>
                <w:u w:val="none" w:color="auto"/>
                <w:lang w:val="en-US" w:eastAsia="zh-CN"/>
              </w:rPr>
              <w:t>七</w:t>
            </w:r>
            <w:r>
              <w:rPr>
                <w:rFonts w:hint="default" w:ascii="Times New Roman" w:hAnsi="Times New Roman" w:eastAsia="仿宋_GB2312" w:cs="Times New Roman"/>
                <w:color w:val="auto"/>
                <w:sz w:val="28"/>
                <w:szCs w:val="28"/>
                <w:highlight w:val="none"/>
                <w:u w:val="none" w:color="auto"/>
                <w:lang w:val="en-US" w:eastAsia="zh-CN"/>
              </w:rPr>
              <w:t>大优势特色产业提档升级，深度融合乡村建设、脱贫攻坚成果巩固、农业农村改革等重点任务，构建“核心集聚、片区辐射、全域提质”的农业现代化发展格局。</w:t>
            </w:r>
          </w:p>
        </w:tc>
      </w:tr>
    </w:tbl>
    <w:p w14:paraId="0D6B3C9B">
      <w:pPr>
        <w:pStyle w:val="14"/>
        <w:keepNext w:val="0"/>
        <w:keepLines w:val="0"/>
        <w:pageBreakBefore w:val="0"/>
        <w:widowControl/>
        <w:suppressLineNumbers w:val="0"/>
        <w:shd w:val="clear"/>
        <w:kinsoku/>
        <w:wordWrap/>
        <w:overflowPunct w:val="0"/>
        <w:topLinePunct w:val="0"/>
        <w:autoSpaceDE/>
        <w:autoSpaceDN/>
        <w:bidi w:val="0"/>
        <w:adjustRightInd/>
        <w:snapToGrid/>
        <w:spacing w:before="0" w:beforeAutospacing="0" w:after="0" w:afterAutospacing="0" w:line="240" w:lineRule="auto"/>
        <w:ind w:left="0" w:right="0" w:firstLine="632" w:firstLineChars="200"/>
        <w:jc w:val="both"/>
        <w:textAlignment w:val="auto"/>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提升农业机械化水平。</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高标准</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建设数字农业服务中心，推动黄粉虫、设施蔬菜、早春西瓜等特色产业的科技创新和示范推广。</w:t>
      </w:r>
      <w:r>
        <w:rPr>
          <w:rStyle w:val="18"/>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围绕推进“全程、全面、高质、高效”农业机械化，调整优化农机装备结构布局，</w:t>
      </w:r>
      <w:r>
        <w:rPr>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大力争取超长期特别国债资金支持设施农业更新改造</w:t>
      </w:r>
      <w:r>
        <w:rPr>
          <w:rStyle w:val="18"/>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，因地制宜配备无人机等高端农机装备。</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加快高性能播种机械、节水灌溉设备、智能农机具的研发应用</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推广智能温室、喷微灌设施、避雨设施、耕作移栽和储藏保鲜烘干等设施装备和耕种技术。促进农机农艺融合，提高农机装备智能决策和精准作业能力，示范推广机播机收等关键环节技术，推动粮油等主要农作物生产全程机械化</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到2030年</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color w:val="auto"/>
          <w:sz w:val="32"/>
          <w:szCs w:val="32"/>
          <w:highlight w:val="none"/>
          <w:u w:val="none" w:color="auto"/>
          <w:shd w:val="clear" w:fill="FFFFFF"/>
        </w:rPr>
        <w:t>打造市级智慧农业</w:t>
      </w:r>
      <w:r>
        <w:rPr>
          <w:rStyle w:val="19"/>
          <w:rFonts w:hint="default" w:ascii="Times New Roman" w:hAnsi="Times New Roman" w:cs="Times New Roman"/>
          <w:b w:val="0"/>
          <w:bCs w:val="0"/>
          <w:color w:val="auto"/>
          <w:sz w:val="32"/>
          <w:szCs w:val="32"/>
          <w:highlight w:val="none"/>
          <w:u w:val="none" w:color="auto"/>
          <w:shd w:val="clear" w:fill="FFFFFF"/>
          <w:lang w:val="en-US" w:eastAsia="zh-CN"/>
        </w:rPr>
        <w:t>应用场景5</w:t>
      </w:r>
      <w:r>
        <w:rPr>
          <w:rStyle w:val="19"/>
          <w:rFonts w:hint="default" w:ascii="Times New Roman" w:hAnsi="Times New Roman" w:eastAsia="仿宋_GB2312" w:cs="Times New Roman"/>
          <w:b w:val="0"/>
          <w:bCs w:val="0"/>
          <w:color w:val="auto"/>
          <w:sz w:val="32"/>
          <w:szCs w:val="32"/>
          <w:highlight w:val="none"/>
          <w:u w:val="none" w:color="auto"/>
          <w:shd w:val="clear" w:fill="FFFFFF"/>
          <w:lang w:val="en-US" w:eastAsia="zh-CN"/>
        </w:rPr>
        <w:t>处。</w:t>
      </w:r>
    </w:p>
    <w:p w14:paraId="5A3E491F">
      <w:pPr>
        <w:pStyle w:val="14"/>
        <w:keepNext w:val="0"/>
        <w:keepLines w:val="0"/>
        <w:pageBreakBefore w:val="0"/>
        <w:widowControl/>
        <w:shd w:val="clear"/>
        <w:kinsoku/>
        <w:wordWrap/>
        <w:overflowPunct w:val="0"/>
        <w:topLinePunct w:val="0"/>
        <w:autoSpaceDE/>
        <w:autoSpaceDN/>
        <w:bidi w:val="0"/>
        <w:adjustRightInd/>
        <w:snapToGrid/>
        <w:spacing w:beforeAutospacing="0" w:afterAutospacing="0" w:line="240" w:lineRule="auto"/>
        <w:ind w:firstLine="632" w:firstLineChars="200"/>
        <w:jc w:val="both"/>
        <w:textAlignment w:val="auto"/>
        <w:rPr>
          <w:rStyle w:val="19"/>
          <w:rFonts w:hint="default" w:ascii="Times New Roman" w:hAnsi="Times New Roman" w:cs="Times New Roman"/>
          <w:b w:val="0"/>
          <w:bCs w:val="0"/>
          <w:color w:val="auto"/>
          <w:kern w:val="1"/>
          <w:sz w:val="32"/>
          <w:szCs w:val="32"/>
          <w:highlight w:val="none"/>
          <w:u w:val="none" w:color="auto"/>
          <w:shd w:val="clear" w:fill="FFFFFF"/>
          <w:lang w:eastAsia="zh-CN"/>
        </w:rPr>
      </w:pPr>
      <w:r>
        <w:rPr>
          <w:rStyle w:val="19"/>
          <w:rFonts w:hint="default" w:ascii="Times New Roman" w:hAnsi="Times New Roman" w:eastAsia="仿宋_GB2312" w:cs="Times New Roman"/>
          <w:b/>
          <w:bCs/>
          <w:color w:val="auto"/>
          <w:kern w:val="1"/>
          <w:sz w:val="32"/>
          <w:szCs w:val="32"/>
          <w:highlight w:val="none"/>
          <w:u w:val="none" w:color="auto"/>
          <w:shd w:val="clear" w:fill="FFFFFF"/>
        </w:rPr>
        <w:t>强化市场体系建设</w:t>
      </w:r>
      <w:r>
        <w:rPr>
          <w:rStyle w:val="19"/>
          <w:rFonts w:hint="default" w:ascii="Times New Roman" w:hAnsi="Times New Roman" w:eastAsia="仿宋_GB2312" w:cs="Times New Roman"/>
          <w:b w:val="0"/>
          <w:bCs w:val="0"/>
          <w:color w:val="auto"/>
          <w:kern w:val="1"/>
          <w:sz w:val="32"/>
          <w:szCs w:val="32"/>
          <w:highlight w:val="none"/>
          <w:u w:val="none" w:color="auto"/>
          <w:shd w:val="clear" w:fill="FFFFFF"/>
        </w:rPr>
        <w:t>。发展多种形式适度规模经营，提升现代农业社会化服务能力，构建集约化、专业化、组织化、社会化相结合的新型农业经营体系。提升合作社建设水平，积极支持供销合作社等开展“村社共建”和联合社培育。培育一批生产性服务组织，实现小农户耕、种、防、收等全部或部分生产环节托管，基本形成服务结构合理、专业水平较强、服务行为规范、覆盖全产业链的农业生产性服务业</w:t>
      </w:r>
      <w:r>
        <w:rPr>
          <w:rStyle w:val="19"/>
          <w:rFonts w:hint="default" w:ascii="Times New Roman" w:hAnsi="Times New Roman" w:eastAsia="仿宋_GB2312" w:cs="Times New Roman"/>
          <w:b w:val="0"/>
          <w:bCs w:val="0"/>
          <w:color w:val="auto"/>
          <w:kern w:val="1"/>
          <w:sz w:val="32"/>
          <w:szCs w:val="32"/>
          <w:highlight w:val="none"/>
          <w:u w:val="none" w:color="auto"/>
          <w:shd w:val="clear" w:fill="FFFFFF"/>
          <w:lang w:eastAsia="zh-CN"/>
        </w:rPr>
        <w:t>，</w:t>
      </w:r>
      <w:r>
        <w:rPr>
          <w:rStyle w:val="19"/>
          <w:rFonts w:hint="default" w:ascii="Times New Roman" w:hAnsi="Times New Roman" w:eastAsia="仿宋_GB2312" w:cs="Times New Roman"/>
          <w:b w:val="0"/>
          <w:bCs w:val="0"/>
          <w:color w:val="auto"/>
          <w:kern w:val="1"/>
          <w:sz w:val="32"/>
          <w:szCs w:val="32"/>
          <w:highlight w:val="none"/>
          <w:u w:val="none" w:color="auto"/>
          <w:shd w:val="clear" w:fill="FFFFFF"/>
        </w:rPr>
        <w:t>促进小农户与现代农业有机衔接。力争到2</w:t>
      </w:r>
      <w:r>
        <w:rPr>
          <w:rStyle w:val="19"/>
          <w:rFonts w:hint="default" w:ascii="Times New Roman" w:hAnsi="Times New Roman" w:eastAsia="仿宋_GB2312" w:cs="Times New Roman"/>
          <w:b w:val="0"/>
          <w:bCs w:val="0"/>
          <w:color w:val="auto"/>
          <w:sz w:val="32"/>
          <w:szCs w:val="32"/>
          <w:highlight w:val="none"/>
          <w:u w:val="none" w:color="auto"/>
          <w:shd w:val="clear" w:fill="FFFFFF"/>
          <w:lang w:eastAsia="zh-CN"/>
        </w:rPr>
        <w:t>0</w:t>
      </w:r>
      <w:r>
        <w:rPr>
          <w:rStyle w:val="19"/>
          <w:rFonts w:hint="default" w:ascii="Times New Roman" w:hAnsi="Times New Roman" w:eastAsia="仿宋_GB2312" w:cs="Times New Roman"/>
          <w:b w:val="0"/>
          <w:bCs w:val="0"/>
          <w:color w:val="auto"/>
          <w:sz w:val="32"/>
          <w:szCs w:val="32"/>
          <w:highlight w:val="none"/>
          <w:u w:val="none" w:color="auto"/>
          <w:shd w:val="clear" w:fill="FFFFFF"/>
          <w:lang w:val="en-US" w:eastAsia="zh-CN"/>
        </w:rPr>
        <w:t>30</w:t>
      </w:r>
      <w:r>
        <w:rPr>
          <w:rStyle w:val="19"/>
          <w:rFonts w:hint="default" w:ascii="Times New Roman" w:hAnsi="Times New Roman" w:eastAsia="仿宋_GB2312" w:cs="Times New Roman"/>
          <w:b w:val="0"/>
          <w:bCs w:val="0"/>
          <w:color w:val="auto"/>
          <w:kern w:val="1"/>
          <w:sz w:val="32"/>
          <w:szCs w:val="32"/>
          <w:highlight w:val="none"/>
          <w:u w:val="none" w:color="auto"/>
          <w:shd w:val="clear" w:fill="FFFFFF"/>
        </w:rPr>
        <w:t>年，企业主营业务收入过10亿元达到</w:t>
      </w:r>
      <w:r>
        <w:rPr>
          <w:rStyle w:val="19"/>
          <w:rFonts w:hint="default" w:ascii="Times New Roman" w:hAnsi="Times New Roman" w:cs="Times New Roman"/>
          <w:b w:val="0"/>
          <w:bCs w:val="0"/>
          <w:color w:val="auto"/>
          <w:sz w:val="32"/>
          <w:szCs w:val="32"/>
          <w:highlight w:val="none"/>
          <w:u w:val="none" w:color="auto"/>
          <w:shd w:val="clear" w:fill="FFFFFF"/>
          <w:lang w:val="en-US" w:eastAsia="zh-CN"/>
        </w:rPr>
        <w:t>2</w:t>
      </w:r>
      <w:r>
        <w:rPr>
          <w:rStyle w:val="19"/>
          <w:rFonts w:hint="default" w:ascii="Times New Roman" w:hAnsi="Times New Roman" w:eastAsia="仿宋_GB2312" w:cs="Times New Roman"/>
          <w:b w:val="0"/>
          <w:bCs w:val="0"/>
          <w:color w:val="auto"/>
          <w:kern w:val="1"/>
          <w:sz w:val="32"/>
          <w:szCs w:val="32"/>
          <w:highlight w:val="none"/>
          <w:u w:val="none" w:color="auto"/>
          <w:shd w:val="clear" w:fill="FFFFFF"/>
        </w:rPr>
        <w:t>家</w:t>
      </w:r>
      <w:r>
        <w:rPr>
          <w:rStyle w:val="19"/>
          <w:rFonts w:hint="default" w:ascii="Times New Roman" w:hAnsi="Times New Roman" w:cs="Times New Roman"/>
          <w:b w:val="0"/>
          <w:bCs w:val="0"/>
          <w:color w:val="auto"/>
          <w:kern w:val="1"/>
          <w:sz w:val="32"/>
          <w:szCs w:val="32"/>
          <w:highlight w:val="none"/>
          <w:u w:val="none" w:color="auto"/>
          <w:shd w:val="clear" w:fill="FFFFFF"/>
          <w:lang w:eastAsia="zh-CN"/>
        </w:rPr>
        <w:t>。</w:t>
      </w:r>
    </w:p>
    <w:p w14:paraId="04DAA82C">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78" w:name="_Toc2006691149"/>
    </w:p>
    <w:p w14:paraId="22EA36D5">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推进宜居宜业和美乡村建设</w:t>
      </w:r>
      <w:bookmarkEnd w:id="76"/>
      <w:bookmarkEnd w:id="77"/>
      <w:bookmarkEnd w:id="78"/>
    </w:p>
    <w:p w14:paraId="2885C969">
      <w:pPr>
        <w:shd w:val="clear"/>
        <w:spacing w:line="240" w:lineRule="auto"/>
        <w:ind w:firstLine="632" w:firstLineChars="200"/>
        <w:rPr>
          <w:rStyle w:val="19"/>
          <w:rFonts w:hint="default" w:ascii="Times New Roman" w:hAnsi="Times New Roman" w:eastAsia="仿宋_GB2312" w:cs="Times New Roman"/>
          <w:b w:val="0"/>
          <w:color w:val="auto"/>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color w:val="auto"/>
          <w:sz w:val="32"/>
          <w:szCs w:val="32"/>
          <w:highlight w:val="none"/>
          <w:u w:val="none" w:color="auto"/>
          <w:shd w:val="clear" w:fill="FFFFFF"/>
          <w:lang w:val="en-US" w:eastAsia="zh-CN" w:bidi="ar"/>
        </w:rPr>
        <w:t>深入学习运用“千万工程”经验，</w:t>
      </w:r>
      <w:r>
        <w:rPr>
          <w:rStyle w:val="19"/>
          <w:rFonts w:hint="default" w:ascii="Times New Roman" w:hAnsi="Times New Roman" w:eastAsia="仿宋_GB2312" w:cs="Times New Roman"/>
          <w:b w:val="0"/>
          <w:color w:val="auto"/>
          <w:sz w:val="32"/>
          <w:szCs w:val="32"/>
          <w:highlight w:val="none"/>
          <w:u w:val="none" w:color="auto"/>
          <w:shd w:val="clear" w:fill="FFFFFF"/>
          <w:lang w:eastAsia="zh-CN" w:bidi="ar"/>
        </w:rPr>
        <w:t>强化</w:t>
      </w:r>
      <w:r>
        <w:rPr>
          <w:rStyle w:val="19"/>
          <w:rFonts w:hint="default" w:ascii="Times New Roman" w:hAnsi="Times New Roman" w:eastAsia="仿宋_GB2312" w:cs="Times New Roman"/>
          <w:b w:val="0"/>
          <w:color w:val="auto"/>
          <w:sz w:val="32"/>
          <w:szCs w:val="32"/>
          <w:highlight w:val="none"/>
          <w:u w:val="none" w:color="auto"/>
          <w:shd w:val="clear" w:fill="FFFFFF"/>
          <w:lang w:bidi="ar"/>
        </w:rPr>
        <w:t>乡村建设规划引领</w:t>
      </w:r>
      <w:r>
        <w:rPr>
          <w:rStyle w:val="19"/>
          <w:rFonts w:hint="default" w:ascii="Times New Roman" w:hAnsi="Times New Roman" w:eastAsia="仿宋_GB2312" w:cs="Times New Roman"/>
          <w:b w:val="0"/>
          <w:color w:val="auto"/>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color w:val="auto"/>
          <w:sz w:val="32"/>
          <w:szCs w:val="32"/>
          <w:highlight w:val="none"/>
          <w:u w:val="none" w:color="auto"/>
          <w:shd w:val="clear" w:fill="FFFFFF"/>
          <w:lang w:bidi="ar"/>
        </w:rPr>
        <w:t>逐步提高农村基础设施完备度、人居环境舒适度</w:t>
      </w:r>
      <w:r>
        <w:rPr>
          <w:rStyle w:val="19"/>
          <w:rFonts w:hint="default" w:ascii="Times New Roman" w:hAnsi="Times New Roman" w:eastAsia="仿宋_GB2312" w:cs="Times New Roman"/>
          <w:b w:val="0"/>
          <w:color w:val="auto"/>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color w:val="auto"/>
          <w:sz w:val="32"/>
          <w:szCs w:val="32"/>
          <w:highlight w:val="none"/>
          <w:u w:val="none" w:color="auto"/>
          <w:shd w:val="clear" w:fill="FFFFFF"/>
          <w:lang w:bidi="ar"/>
        </w:rPr>
        <w:t>片区化推进乡村振兴</w:t>
      </w:r>
      <w:r>
        <w:rPr>
          <w:rStyle w:val="19"/>
          <w:rFonts w:hint="default" w:ascii="Times New Roman" w:hAnsi="Times New Roman" w:eastAsia="仿宋_GB2312" w:cs="Times New Roman"/>
          <w:b w:val="0"/>
          <w:color w:val="auto"/>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color w:val="auto"/>
          <w:sz w:val="32"/>
          <w:szCs w:val="32"/>
          <w:highlight w:val="none"/>
          <w:u w:val="none" w:color="auto"/>
          <w:shd w:val="clear" w:fill="FFFFFF"/>
          <w:lang w:eastAsia="zh-CN" w:bidi="ar"/>
        </w:rPr>
        <w:t>一体化</w:t>
      </w:r>
      <w:r>
        <w:rPr>
          <w:rStyle w:val="19"/>
          <w:rFonts w:hint="default" w:ascii="Times New Roman" w:hAnsi="Times New Roman" w:eastAsia="仿宋_GB2312" w:cs="Times New Roman"/>
          <w:b w:val="0"/>
          <w:color w:val="auto"/>
          <w:sz w:val="32"/>
          <w:szCs w:val="32"/>
          <w:highlight w:val="none"/>
          <w:u w:val="none" w:color="auto"/>
          <w:shd w:val="clear" w:fill="FFFFFF"/>
          <w:lang w:val="en-US" w:eastAsia="zh-CN" w:bidi="ar"/>
        </w:rPr>
        <w:t>推进宜居宜业和美乡村建设。</w:t>
      </w:r>
    </w:p>
    <w:p w14:paraId="63C12EE4">
      <w:pPr>
        <w:shd w:val="clear"/>
        <w:spacing w:line="240" w:lineRule="auto"/>
        <w:ind w:firstLine="632" w:firstLineChars="200"/>
        <w:rPr>
          <w:rStyle w:val="19"/>
          <w:rFonts w:hint="default" w:ascii="Times New Roman" w:hAnsi="Times New Roman" w:eastAsia="仿宋_GB2312" w:cs="Times New Roman"/>
          <w:b w:val="0"/>
          <w:bCs w:val="0"/>
          <w:color w:val="auto"/>
          <w:kern w:val="0"/>
          <w:sz w:val="32"/>
          <w:szCs w:val="32"/>
          <w:highlight w:val="none"/>
          <w:u w:val="none" w:color="auto"/>
          <w:shd w:val="clear" w:fill="FFFFFF"/>
        </w:rPr>
      </w:pPr>
      <w:r>
        <w:rPr>
          <w:rStyle w:val="19"/>
          <w:rFonts w:hint="default" w:ascii="Times New Roman" w:hAnsi="Times New Roman" w:eastAsia="仿宋_GB2312" w:cs="Times New Roman"/>
          <w:b/>
          <w:bCs/>
          <w:color w:val="auto"/>
          <w:kern w:val="0"/>
          <w:sz w:val="32"/>
          <w:szCs w:val="32"/>
          <w:highlight w:val="none"/>
          <w:u w:val="none" w:color="auto"/>
          <w:shd w:val="clear" w:fill="FFFFFF"/>
        </w:rPr>
        <w:t>加强乡村建设规划引领</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val="en-US" w:eastAsia="zh-CN"/>
        </w:rPr>
        <w:t>稳步开展全域土地综合整治，推动农业用地集中连片，调整村庄零散建设用地，优化农村生产、生活、生态空间布局</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val="en-US" w:eastAsia="zh-CN"/>
        </w:rPr>
        <w:t>统筹优化村镇布局，引导“小散弱”村庄逐步向街道（镇）驻地、中心村集聚发展，</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加快“一村一中心”“一村一广场”建设，完善活动场所、健身场地、</w:t>
      </w:r>
      <w:r>
        <w:rPr>
          <w:rFonts w:hint="default" w:ascii="Times New Roman" w:hAnsi="Times New Roman" w:cs="Times New Roman"/>
          <w:color w:val="auto"/>
          <w:highlight w:val="none"/>
          <w:lang w:val="en-US" w:eastAsia="zh-CN"/>
        </w:rPr>
        <w:t>休闲</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绿地、公共停车场、垃圾处理等服务设施，提高农村生活品质。发挥财政资金引导作用，创新建立</w:t>
      </w:r>
      <w:r>
        <w:rPr>
          <w:rStyle w:val="19"/>
          <w:rFonts w:hint="default" w:ascii="Times New Roman" w:hAnsi="Times New Roman" w:cs="Times New Roman"/>
          <w:b w:val="0"/>
          <w:bCs w:val="0"/>
          <w:color w:val="auto"/>
          <w:kern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政府主导、分级负担、集体补充、群众参与、社会支持、多元筹集</w:t>
      </w:r>
      <w:r>
        <w:rPr>
          <w:rStyle w:val="19"/>
          <w:rFonts w:hint="default" w:ascii="Times New Roman" w:hAnsi="Times New Roman" w:cs="Times New Roman"/>
          <w:b w:val="0"/>
          <w:bCs w:val="0"/>
          <w:color w:val="auto"/>
          <w:kern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的乡村建设投融资机制。全面落实国家美丽乡村建设要求，有序推进“美丽定陶”建设，积极申报整县制美丽乡村</w:t>
      </w:r>
      <w:r>
        <w:rPr>
          <w:rStyle w:val="19"/>
          <w:rFonts w:hint="default" w:ascii="Times New Roman" w:hAnsi="Times New Roman" w:cs="Times New Roman"/>
          <w:b w:val="0"/>
          <w:bCs w:val="0"/>
          <w:color w:val="auto"/>
          <w:kern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构建各美其美、美美与共的美丽定陶乡村格局</w:t>
      </w:r>
      <w:r>
        <w:rPr>
          <w:rStyle w:val="19"/>
          <w:rFonts w:hint="default" w:ascii="Times New Roman" w:hAnsi="Times New Roman" w:cs="Times New Roman"/>
          <w:b w:val="0"/>
          <w:bCs w:val="0"/>
          <w:color w:val="auto"/>
          <w:kern w:val="0"/>
          <w:sz w:val="32"/>
          <w:szCs w:val="32"/>
          <w:highlight w:val="none"/>
          <w:u w:val="none" w:color="auto"/>
          <w:shd w:val="clear" w:fill="FFFFFF"/>
          <w:lang w:eastAsia="zh-CN"/>
        </w:rPr>
        <w:t>。</w:t>
      </w:r>
    </w:p>
    <w:p w14:paraId="5EAC0E1F">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持续改善农村人居环境。</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深入实施农村人居环境整治提升行动，</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落实“一村一品、一村一景、一村一韵”，保护传统村落和乡村风貌</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建设“绿净齐富厚和”美丽乡村</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eastAsia="zh-CN"/>
        </w:rPr>
        <w:t>。稳妥有序开展全域土地综合整治和城乡建设用地增减挂钩</w:t>
      </w:r>
      <w:r>
        <w:rPr>
          <w:rStyle w:val="19"/>
          <w:rFonts w:hint="default" w:ascii="Times New Roman" w:hAnsi="Times New Roman" w:cs="Times New Roman"/>
          <w:b w:val="0"/>
          <w:bCs w:val="0"/>
          <w:color w:val="auto"/>
          <w:kern w:val="0"/>
          <w:sz w:val="32"/>
          <w:szCs w:val="32"/>
          <w:highlight w:val="none"/>
          <w:u w:val="none" w:color="auto"/>
          <w:shd w:val="clear" w:fill="FFFFFF"/>
          <w:lang w:eastAsia="zh-CN"/>
        </w:rPr>
        <w:t>。</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加快推进</w:t>
      </w:r>
      <w:r>
        <w:rPr>
          <w:rFonts w:hint="default" w:ascii="Times New Roman" w:hAnsi="Times New Roman" w:cs="Times New Roman"/>
          <w:color w:val="auto"/>
          <w:highlight w:val="none"/>
          <w:lang w:val="en-US" w:eastAsia="zh-CN"/>
        </w:rPr>
        <w:t>农村</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垃圾综合治理和分类收集处理，逐步建立完善农村生活垃圾减量化处理、资源化利用、市场化运作、数字化管理、法治化</w:t>
      </w:r>
      <w:r>
        <w:rPr>
          <w:rStyle w:val="19"/>
          <w:rFonts w:hint="default" w:ascii="Times New Roman" w:hAnsi="Times New Roman" w:eastAsia="仿宋_GB2312" w:cs="Times New Roman"/>
          <w:b w:val="0"/>
          <w:bCs w:val="0"/>
          <w:color w:val="auto"/>
          <w:kern w:val="1"/>
          <w:sz w:val="32"/>
          <w:szCs w:val="32"/>
          <w:highlight w:val="none"/>
          <w:u w:val="none" w:color="auto"/>
          <w:shd w:val="clear" w:fill="FFFFFF"/>
        </w:rPr>
        <w:t>保障的工作机制。</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扎实推进农村“厕所革命”。创新农村污水处理模式，推动城镇污水管网向周边村庄延伸覆盖，确保生活污水治理占比不低于</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75</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%。高标准推进杜堂镇等省级衔接推进区、仿山镇齐鲁样板示范区及市级示范片区建设，全要素推进乡村“五大振兴”</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w:t>
      </w:r>
    </w:p>
    <w:p w14:paraId="61A3097F">
      <w:pPr>
        <w:shd w:val="clear"/>
        <w:spacing w:line="240" w:lineRule="auto"/>
        <w:ind w:firstLine="632" w:firstLineChars="200"/>
        <w:rPr>
          <w:rStyle w:val="19"/>
          <w:rFonts w:hint="default" w:ascii="Times New Roman" w:hAnsi="Times New Roman" w:eastAsia="仿宋_GB2312" w:cs="Times New Roman"/>
          <w:b w:val="0"/>
          <w:bCs w:val="0"/>
          <w:color w:val="auto"/>
          <w:kern w:val="0"/>
          <w:sz w:val="32"/>
          <w:szCs w:val="32"/>
          <w:highlight w:val="none"/>
          <w:u w:val="none" w:color="auto"/>
          <w:shd w:val="clear" w:fill="FFFFFF"/>
          <w:lang w:eastAsia="zh-CN"/>
        </w:rPr>
      </w:pPr>
      <w:r>
        <w:rPr>
          <w:rStyle w:val="19"/>
          <w:rFonts w:hint="default" w:ascii="Times New Roman" w:hAnsi="Times New Roman" w:eastAsia="仿宋_GB2312" w:cs="Times New Roman"/>
          <w:b/>
          <w:bCs/>
          <w:color w:val="auto"/>
          <w:kern w:val="0"/>
          <w:sz w:val="32"/>
          <w:szCs w:val="32"/>
          <w:highlight w:val="none"/>
          <w:u w:val="none" w:color="auto"/>
          <w:shd w:val="clear" w:fill="FFFFFF"/>
          <w:lang w:val="en-US" w:eastAsia="zh-CN"/>
        </w:rPr>
        <w:t>持续</w:t>
      </w:r>
      <w:r>
        <w:rPr>
          <w:rStyle w:val="19"/>
          <w:rFonts w:hint="default" w:ascii="Times New Roman" w:hAnsi="Times New Roman" w:eastAsia="仿宋_GB2312" w:cs="Times New Roman"/>
          <w:b/>
          <w:bCs/>
          <w:color w:val="auto"/>
          <w:kern w:val="0"/>
          <w:sz w:val="32"/>
          <w:szCs w:val="32"/>
          <w:highlight w:val="none"/>
          <w:u w:val="none" w:color="auto"/>
          <w:shd w:val="clear" w:fill="FFFFFF"/>
        </w:rPr>
        <w:t>推进文明乡风建设</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。加大新型农民培育力度，倡导文明新风，建设充满生机活力的乡风文明体系。深入开展新时代文明实践活动，推动社会主义核心价值观深入农村。</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eastAsia="zh-CN"/>
        </w:rPr>
        <w:t>实施</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文明家庭和文明村镇创建</w:t>
      </w:r>
      <w:r>
        <w:rPr>
          <w:rFonts w:hint="default" w:ascii="Times New Roman" w:hAnsi="Times New Roman" w:cs="Times New Roman"/>
          <w:color w:val="auto"/>
          <w:highlight w:val="none"/>
          <w:lang w:val="en-US" w:eastAsia="zh-CN"/>
        </w:rPr>
        <w:t>行动</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，大力开展文体活动，丰富乡村文化生活。健全</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eastAsia="zh-CN"/>
        </w:rPr>
        <w:t>公共文化服务体系</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，优化城乡文化设施布局，完善农村公共文化服务网点</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eastAsia="zh-CN"/>
        </w:rPr>
        <w:t>。持续推进</w:t>
      </w:r>
      <w:r>
        <w:rPr>
          <w:rFonts w:hint="default" w:ascii="Times New Roman" w:hAnsi="Times New Roman" w:cs="Times New Roman"/>
          <w:color w:val="auto"/>
          <w:highlight w:val="none"/>
          <w:lang w:val="en-US" w:eastAsia="zh-CN"/>
        </w:rPr>
        <w:t>文化</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eastAsia="zh-CN"/>
        </w:rPr>
        <w:t>惠民工程，鼓励文艺团队、科普团体和文艺工作者、科技工作者定期送文化、送科技下乡，探索建立文化服务常态化机制</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。广泛开展精神文明创建活动，</w:t>
      </w:r>
      <w:r>
        <w:rPr>
          <w:rStyle w:val="19"/>
          <w:rFonts w:hint="default" w:ascii="Times New Roman" w:hAnsi="Times New Roman" w:eastAsia="仿宋_GB2312" w:cs="Times New Roman"/>
          <w:b w:val="0"/>
          <w:bCs w:val="0"/>
          <w:color w:val="auto"/>
          <w:kern w:val="0"/>
          <w:sz w:val="32"/>
          <w:szCs w:val="32"/>
          <w:highlight w:val="none"/>
          <w:u w:val="none" w:color="auto"/>
          <w:shd w:val="clear" w:fill="FFFFFF"/>
          <w:lang w:val="en-US" w:eastAsia="zh-CN"/>
        </w:rPr>
        <w:t>引导培育文明乡风、良好家风、淳朴民风。</w:t>
      </w:r>
    </w:p>
    <w:p w14:paraId="0E149FF8">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79" w:name="_Toc22648"/>
      <w:bookmarkStart w:id="80" w:name="_Toc22142"/>
      <w:bookmarkStart w:id="81" w:name="_Toc2080708147"/>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提高强农惠农富农政策效能</w:t>
      </w:r>
      <w:bookmarkEnd w:id="79"/>
      <w:bookmarkEnd w:id="80"/>
      <w:bookmarkEnd w:id="81"/>
    </w:p>
    <w:p w14:paraId="7B54BC9A">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color w:val="auto"/>
          <w:kern w:val="0"/>
          <w:sz w:val="32"/>
          <w:szCs w:val="32"/>
          <w:highlight w:val="none"/>
          <w:u w:val="none" w:color="auto"/>
          <w:shd w:val="clear" w:fill="FFFFFF"/>
        </w:rPr>
        <w:t>持续加大强农惠农富农政策力度，确保人力投入、物力配置、财力保障等</w:t>
      </w:r>
      <w:r>
        <w:rPr>
          <w:rStyle w:val="19"/>
          <w:rFonts w:hint="default" w:ascii="Times New Roman" w:hAnsi="Times New Roman" w:cs="Times New Roman"/>
          <w:b w:val="0"/>
          <w:color w:val="auto"/>
          <w:kern w:val="0"/>
          <w:sz w:val="32"/>
          <w:szCs w:val="32"/>
          <w:highlight w:val="none"/>
          <w:u w:val="none" w:color="auto"/>
          <w:shd w:val="clear" w:fill="FFFFFF"/>
          <w:lang w:eastAsia="zh-CN"/>
        </w:rPr>
        <w:t>和</w:t>
      </w:r>
      <w:r>
        <w:rPr>
          <w:rStyle w:val="19"/>
          <w:rFonts w:hint="default" w:ascii="Times New Roman" w:hAnsi="Times New Roman" w:eastAsia="仿宋_GB2312" w:cs="Times New Roman"/>
          <w:b w:val="0"/>
          <w:color w:val="auto"/>
          <w:kern w:val="0"/>
          <w:sz w:val="32"/>
          <w:szCs w:val="32"/>
          <w:highlight w:val="none"/>
          <w:u w:val="none" w:color="auto"/>
          <w:shd w:val="clear" w:fill="FFFFFF"/>
        </w:rPr>
        <w:t>乡村振兴目标任务相适应，</w:t>
      </w:r>
      <w:r>
        <w:rPr>
          <w:rStyle w:val="19"/>
          <w:rFonts w:hint="default" w:ascii="Times New Roman" w:hAnsi="Times New Roman" w:eastAsia="仿宋_GB2312" w:cs="Times New Roman"/>
          <w:b w:val="0"/>
          <w:caps w:val="0"/>
          <w:color w:val="auto"/>
          <w:spacing w:val="0"/>
          <w:kern w:val="0"/>
          <w:sz w:val="32"/>
          <w:szCs w:val="32"/>
          <w:highlight w:val="none"/>
          <w:u w:val="none" w:color="auto"/>
          <w:shd w:val="clear" w:fill="FFFFFF"/>
          <w:lang w:val="en-US" w:eastAsia="zh-CN" w:bidi="ar-SA"/>
        </w:rPr>
        <w:t>构建促进村集体收入、农民收入“双增长”的长效机制</w:t>
      </w:r>
      <w:r>
        <w:rPr>
          <w:rStyle w:val="19"/>
          <w:rFonts w:hint="default" w:ascii="Times New Roman" w:hAnsi="Times New Roman" w:cs="Times New Roman"/>
          <w:b w:val="0"/>
          <w:caps w:val="0"/>
          <w:color w:val="auto"/>
          <w:spacing w:val="0"/>
          <w:kern w:val="0"/>
          <w:sz w:val="32"/>
          <w:szCs w:val="32"/>
          <w:highlight w:val="none"/>
          <w:u w:val="none" w:color="auto"/>
          <w:shd w:val="clear" w:fill="FFFFFF"/>
          <w:lang w:val="en-US" w:eastAsia="zh-CN" w:bidi="ar-SA"/>
        </w:rPr>
        <w:t>，推动</w:t>
      </w:r>
      <w:r>
        <w:rPr>
          <w:rStyle w:val="19"/>
          <w:rFonts w:hint="default" w:ascii="Times New Roman" w:hAnsi="Times New Roman" w:eastAsia="仿宋_GB2312" w:cs="Times New Roman"/>
          <w:b w:val="0"/>
          <w:color w:val="auto"/>
          <w:kern w:val="0"/>
          <w:sz w:val="32"/>
          <w:szCs w:val="32"/>
          <w:highlight w:val="none"/>
          <w:u w:val="none" w:color="auto"/>
          <w:shd w:val="clear" w:fill="FFFFFF"/>
        </w:rPr>
        <w:t>农民过上更富裕</w:t>
      </w:r>
      <w:r>
        <w:rPr>
          <w:rStyle w:val="19"/>
          <w:rFonts w:hint="default" w:ascii="Times New Roman" w:hAnsi="Times New Roman" w:cs="Times New Roman"/>
          <w:b w:val="0"/>
          <w:color w:val="auto"/>
          <w:kern w:val="0"/>
          <w:sz w:val="32"/>
          <w:szCs w:val="32"/>
          <w:highlight w:val="none"/>
          <w:u w:val="none" w:color="auto"/>
          <w:shd w:val="clear" w:fill="FFFFFF"/>
          <w:lang w:eastAsia="zh-CN"/>
        </w:rPr>
        <w:t>、</w:t>
      </w:r>
      <w:r>
        <w:rPr>
          <w:rStyle w:val="19"/>
          <w:rFonts w:hint="default" w:ascii="Times New Roman" w:hAnsi="Times New Roman" w:cs="Times New Roman"/>
          <w:b w:val="0"/>
          <w:color w:val="auto"/>
          <w:kern w:val="0"/>
          <w:sz w:val="32"/>
          <w:szCs w:val="32"/>
          <w:highlight w:val="none"/>
          <w:u w:val="none" w:color="auto"/>
          <w:shd w:val="clear" w:fill="FFFFFF"/>
          <w:lang w:val="en-US" w:eastAsia="zh-CN"/>
        </w:rPr>
        <w:t>更美好</w:t>
      </w:r>
      <w:r>
        <w:rPr>
          <w:rStyle w:val="19"/>
          <w:rFonts w:hint="eastAsia" w:ascii="Times New Roman" w:hAnsi="Times New Roman" w:cs="Times New Roman"/>
          <w:b w:val="0"/>
          <w:color w:val="auto"/>
          <w:kern w:val="0"/>
          <w:sz w:val="32"/>
          <w:szCs w:val="32"/>
          <w:highlight w:val="none"/>
          <w:u w:val="none" w:color="auto"/>
          <w:shd w:val="clear" w:fill="FFFFFF"/>
          <w:lang w:val="en-US" w:eastAsia="zh-CN"/>
        </w:rPr>
        <w:t>的</w:t>
      </w:r>
      <w:r>
        <w:rPr>
          <w:rStyle w:val="19"/>
          <w:rFonts w:hint="default" w:ascii="Times New Roman" w:hAnsi="Times New Roman" w:eastAsia="仿宋_GB2312" w:cs="Times New Roman"/>
          <w:b w:val="0"/>
          <w:color w:val="auto"/>
          <w:kern w:val="0"/>
          <w:sz w:val="32"/>
          <w:szCs w:val="32"/>
          <w:highlight w:val="none"/>
          <w:u w:val="none" w:color="auto"/>
          <w:shd w:val="clear" w:fill="FFFFFF"/>
        </w:rPr>
        <w:t>生活。</w:t>
      </w:r>
    </w:p>
    <w:p w14:paraId="5639223C">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cs="Times New Roman"/>
          <w:b/>
          <w:bCs/>
          <w:i w:val="0"/>
          <w:iCs w:val="0"/>
          <w:caps w:val="0"/>
          <w:color w:val="auto"/>
          <w:spacing w:val="0"/>
          <w:kern w:val="0"/>
          <w:sz w:val="32"/>
          <w:szCs w:val="32"/>
          <w:highlight w:val="none"/>
          <w:u w:val="none" w:color="auto"/>
          <w:shd w:val="clear" w:fill="FFFFFF"/>
          <w:lang w:val="en-US" w:eastAsia="zh-CN" w:bidi="ar"/>
        </w:rPr>
        <w:t>持续</w:t>
      </w:r>
      <w:r>
        <w:rPr>
          <w:rStyle w:val="19"/>
          <w:rFonts w:hint="default" w:ascii="Times New Roman" w:hAnsi="Times New Roman" w:eastAsia="仿宋_GB2312" w:cs="Times New Roman"/>
          <w:b/>
          <w:bCs/>
          <w:i w:val="0"/>
          <w:iCs w:val="0"/>
          <w:caps w:val="0"/>
          <w:color w:val="auto"/>
          <w:spacing w:val="0"/>
          <w:kern w:val="0"/>
          <w:sz w:val="32"/>
          <w:szCs w:val="32"/>
          <w:highlight w:val="none"/>
          <w:u w:val="none" w:color="auto"/>
          <w:shd w:val="clear" w:fill="FFFFFF"/>
          <w:lang w:val="en-US" w:eastAsia="zh-CN" w:bidi="ar"/>
        </w:rPr>
        <w:t>拓宽农民致富渠道</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。积极争取农村集体经营性建设用地，稳妥推进宅基地改革，巩固农村集体产权制度改革成果，</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发展</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壮大新型农村集体经济。建立“企业</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基地</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专业合作社</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农户”“企业</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集体</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农户”等生产组织形式，通过订单生产、务工就业、土地入股等方式，与农户建立紧密利益联结机制，让农民分享更多产业链增值收益。实施高素质农民培育计划，开展农民工职业技能提升行动。统筹用好帮扶项目、公益性岗位等资源，分层分类帮扶脱贫人口和监测对象，完善农村防止返贫致贫常态化帮扶机制，确保不发生规模性返贫致贫。</w:t>
      </w:r>
    </w:p>
    <w:p w14:paraId="59B26C5B">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pPr>
      <w:r>
        <w:rPr>
          <w:rStyle w:val="19"/>
          <w:rFonts w:hint="default" w:ascii="Times New Roman" w:hAnsi="Times New Roman" w:cs="Times New Roman"/>
          <w:b/>
          <w:bCs/>
          <w:i w:val="0"/>
          <w:iCs w:val="0"/>
          <w:caps w:val="0"/>
          <w:color w:val="auto"/>
          <w:spacing w:val="0"/>
          <w:kern w:val="0"/>
          <w:sz w:val="32"/>
          <w:szCs w:val="32"/>
          <w:highlight w:val="none"/>
          <w:u w:val="none" w:color="auto"/>
          <w:shd w:val="clear" w:fill="FFFFFF"/>
          <w:lang w:val="en-US" w:eastAsia="zh-CN" w:bidi="ar"/>
        </w:rPr>
        <w:t>全面深化农业农村改革</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cs="Times New Roman"/>
          <w:b w:val="0"/>
          <w:bCs w:val="0"/>
          <w:color w:val="auto"/>
          <w:sz w:val="32"/>
          <w:szCs w:val="32"/>
          <w:highlight w:val="none"/>
          <w:u w:val="none" w:color="auto"/>
          <w:shd w:val="clear" w:fill="FFFFFF"/>
          <w:lang w:val="en-US" w:eastAsia="zh-CN"/>
        </w:rPr>
        <w:t>深化农村承包地“三权”分置改革，</w:t>
      </w:r>
      <w:r>
        <w:rPr>
          <w:rStyle w:val="19"/>
          <w:rFonts w:hint="default" w:ascii="Times New Roman" w:hAnsi="Times New Roman" w:cs="Times New Roman"/>
          <w:b w:val="0"/>
          <w:bCs w:val="0"/>
          <w:color w:val="auto"/>
          <w:sz w:val="32"/>
          <w:szCs w:val="32"/>
          <w:highlight w:val="none"/>
          <w:u w:val="none" w:color="auto"/>
          <w:shd w:val="clear" w:fill="FFFFFF"/>
          <w:lang w:eastAsia="zh-CN"/>
        </w:rPr>
        <w:t>稳步推进二轮承包到期后再延长三十年</w:t>
      </w:r>
      <w:r>
        <w:rPr>
          <w:rStyle w:val="19"/>
          <w:rFonts w:hint="eastAsia" w:ascii="Times New Roman" w:hAnsi="Times New Roman" w:cs="Times New Roman"/>
          <w:b w:val="0"/>
          <w:bCs w:val="0"/>
          <w:color w:val="auto"/>
          <w:sz w:val="32"/>
          <w:szCs w:val="32"/>
          <w:highlight w:val="none"/>
          <w:u w:val="none" w:color="auto"/>
          <w:shd w:val="clear" w:fill="FFFFFF"/>
          <w:lang w:eastAsia="zh-CN"/>
        </w:rPr>
        <w:t>工作</w:t>
      </w:r>
      <w:r>
        <w:rPr>
          <w:rStyle w:val="19"/>
          <w:rFonts w:hint="default" w:ascii="Times New Roman" w:hAnsi="Times New Roman" w:cs="Times New Roman"/>
          <w:b w:val="0"/>
          <w:bCs w:val="0"/>
          <w:color w:val="auto"/>
          <w:sz w:val="32"/>
          <w:szCs w:val="32"/>
          <w:highlight w:val="none"/>
          <w:u w:val="none" w:color="auto"/>
          <w:shd w:val="clear" w:fill="FFFFFF"/>
          <w:lang w:eastAsia="zh-CN"/>
        </w:rPr>
        <w:t>。严守耕地红线，严格占补平衡管理，统筹农用地布局优化。</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eastAsia="zh-CN"/>
        </w:rPr>
        <w:t>稳慎推进农村集体经营性建设用地入市改革，</w:t>
      </w:r>
      <w:r>
        <w:rPr>
          <w:rStyle w:val="19"/>
          <w:rFonts w:hint="default" w:ascii="Times New Roman" w:hAnsi="Times New Roman" w:eastAsia="仿宋_GB2312" w:cs="Times New Roman"/>
          <w:b w:val="0"/>
          <w:bCs w:val="0"/>
          <w:color w:val="auto"/>
          <w:sz w:val="32"/>
          <w:szCs w:val="32"/>
          <w:highlight w:val="none"/>
          <w:u w:val="none" w:color="auto"/>
          <w:shd w:val="clear" w:color="auto" w:fill="FFFFFF"/>
        </w:rPr>
        <w:t>健全土地增值收益分配机制，完善市场交易和监管规则，激活农村存量土地资产</w:t>
      </w:r>
      <w:r>
        <w:rPr>
          <w:rStyle w:val="19"/>
          <w:rFonts w:hint="default" w:ascii="Times New Roman" w:hAnsi="Times New Roman" w:cs="Times New Roman"/>
          <w:b w:val="0"/>
          <w:bCs w:val="0"/>
          <w:color w:val="auto"/>
          <w:sz w:val="32"/>
          <w:szCs w:val="32"/>
          <w:highlight w:val="none"/>
          <w:u w:val="none" w:color="auto"/>
          <w:shd w:val="clear" w:color="auto" w:fill="FFFFFF"/>
          <w:lang w:eastAsia="zh-CN"/>
        </w:rPr>
        <w:t>，</w:t>
      </w:r>
      <w:r>
        <w:rPr>
          <w:rStyle w:val="19"/>
          <w:rFonts w:hint="default" w:ascii="Times New Roman" w:hAnsi="Times New Roman" w:eastAsia="仿宋_GB2312" w:cs="Times New Roman"/>
          <w:b w:val="0"/>
          <w:bCs w:val="0"/>
          <w:color w:val="auto"/>
          <w:sz w:val="32"/>
          <w:szCs w:val="32"/>
          <w:highlight w:val="none"/>
          <w:u w:val="none" w:color="auto"/>
          <w:shd w:val="clear" w:color="auto" w:fill="FFFFFF"/>
        </w:rPr>
        <w:t>依法盘活闲置土地和房屋，分类保障乡村发展用地。</w:t>
      </w:r>
      <w:r>
        <w:rPr>
          <w:rStyle w:val="19"/>
          <w:rFonts w:hint="default" w:ascii="Times New Roman" w:hAnsi="Times New Roman" w:eastAsia="仿宋_GB2312" w:cs="Times New Roman"/>
          <w:b w:val="0"/>
          <w:bCs w:val="0"/>
          <w:color w:val="auto"/>
          <w:sz w:val="32"/>
          <w:szCs w:val="32"/>
          <w:highlight w:val="none"/>
          <w:u w:val="none" w:color="auto"/>
          <w:shd w:val="clear" w:fill="FFFFFF"/>
        </w:rPr>
        <w:t>深化农村集体产权制度改革，创新农村集体资产管理、经营模式，探索集体资产股权量化，盘活集体资产，推进农村土地入市和农村金融建设，增加农民财产性收入。</w:t>
      </w:r>
      <w:r>
        <w:rPr>
          <w:rStyle w:val="19"/>
          <w:rFonts w:hint="default" w:ascii="Times New Roman" w:hAnsi="Times New Roman" w:eastAsia="仿宋_GB2312" w:cs="Times New Roman"/>
          <w:b w:val="0"/>
          <w:bCs w:val="0"/>
          <w:color w:val="auto"/>
          <w:kern w:val="0"/>
          <w:sz w:val="32"/>
          <w:szCs w:val="32"/>
          <w:highlight w:val="none"/>
          <w:u w:val="none" w:color="auto"/>
          <w:shd w:val="clear" w:fill="FFFFFF"/>
        </w:rPr>
        <w:t>鼓励到农村兴办企业、创业创新、领办合作社，带领农民增收致富。</w:t>
      </w:r>
    </w:p>
    <w:p w14:paraId="19DF9996">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cs="Times New Roman"/>
          <w:b/>
          <w:bCs/>
          <w:i w:val="0"/>
          <w:iCs w:val="0"/>
          <w:caps w:val="0"/>
          <w:color w:val="auto"/>
          <w:spacing w:val="0"/>
          <w:kern w:val="0"/>
          <w:sz w:val="32"/>
          <w:szCs w:val="32"/>
          <w:highlight w:val="none"/>
          <w:u w:val="none" w:color="auto"/>
          <w:shd w:val="clear" w:fill="FFFFFF"/>
          <w:lang w:val="en-US" w:eastAsia="zh-CN" w:bidi="ar"/>
        </w:rPr>
        <w:t>畅通</w:t>
      </w:r>
      <w:r>
        <w:rPr>
          <w:rStyle w:val="19"/>
          <w:rFonts w:hint="default" w:ascii="Times New Roman" w:hAnsi="Times New Roman" w:eastAsia="仿宋_GB2312" w:cs="Times New Roman"/>
          <w:b/>
          <w:bCs/>
          <w:i w:val="0"/>
          <w:iCs w:val="0"/>
          <w:caps w:val="0"/>
          <w:color w:val="auto"/>
          <w:spacing w:val="0"/>
          <w:kern w:val="0"/>
          <w:sz w:val="32"/>
          <w:szCs w:val="32"/>
          <w:highlight w:val="none"/>
          <w:u w:val="none" w:color="auto"/>
          <w:shd w:val="clear" w:fill="FFFFFF"/>
          <w:lang w:val="en-US" w:eastAsia="zh-CN" w:bidi="ar"/>
        </w:rPr>
        <w:t>城乡要素</w:t>
      </w:r>
      <w:r>
        <w:rPr>
          <w:rStyle w:val="19"/>
          <w:rFonts w:hint="default" w:ascii="Times New Roman" w:hAnsi="Times New Roman" w:cs="Times New Roman"/>
          <w:b/>
          <w:bCs/>
          <w:i w:val="0"/>
          <w:iCs w:val="0"/>
          <w:caps w:val="0"/>
          <w:color w:val="auto"/>
          <w:spacing w:val="0"/>
          <w:kern w:val="0"/>
          <w:sz w:val="32"/>
          <w:szCs w:val="32"/>
          <w:highlight w:val="none"/>
          <w:u w:val="none" w:color="auto"/>
          <w:shd w:val="clear" w:fill="FFFFFF"/>
          <w:lang w:val="en-US" w:eastAsia="zh-CN" w:bidi="ar"/>
        </w:rPr>
        <w:t>双向</w:t>
      </w:r>
      <w:r>
        <w:rPr>
          <w:rStyle w:val="19"/>
          <w:rFonts w:hint="default" w:ascii="Times New Roman" w:hAnsi="Times New Roman" w:eastAsia="仿宋_GB2312" w:cs="Times New Roman"/>
          <w:b/>
          <w:bCs/>
          <w:i w:val="0"/>
          <w:iCs w:val="0"/>
          <w:caps w:val="0"/>
          <w:color w:val="auto"/>
          <w:spacing w:val="0"/>
          <w:kern w:val="0"/>
          <w:sz w:val="32"/>
          <w:szCs w:val="32"/>
          <w:highlight w:val="none"/>
          <w:u w:val="none" w:color="auto"/>
          <w:shd w:val="clear" w:fill="FFFFFF"/>
          <w:lang w:val="en-US" w:eastAsia="zh-CN" w:bidi="ar"/>
        </w:rPr>
        <w:t>流动</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依法保障进城落户农民的土地承包权、宅基地使用权、集体收益分配权。发展壮大乡村产业，</w:t>
      </w:r>
      <w:r>
        <w:rPr>
          <w:rFonts w:hint="default" w:ascii="Times New Roman" w:hAnsi="Times New Roman" w:cs="Times New Roman"/>
          <w:color w:val="auto"/>
          <w:highlight w:val="none"/>
          <w:lang w:val="en-US" w:eastAsia="zh-CN"/>
        </w:rPr>
        <w:t>吸引</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城镇人员到农村投资兴业、旅居康养</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鼓励城市资金、技术、信息等要素向农村流动。</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实施新型职业农民培育工程和乡村工匠培育计划，健全人才招引下沉、人才培育提升、人才指导服务和人才支持保障机制。</w:t>
      </w:r>
    </w:p>
    <w:p w14:paraId="21324781">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w:t>
      </w:r>
      <w:r>
        <w:rPr>
          <w:rFonts w:hint="eastAsia" w:ascii="Times New Roman" w:hAnsi="Times New Roman" w:eastAsia="黑体" w:cs="Times New Roman"/>
          <w:color w:val="auto"/>
          <w:spacing w:val="0"/>
          <w:sz w:val="28"/>
          <w:szCs w:val="28"/>
          <w:highlight w:val="none"/>
          <w:u w:val="none" w:color="auto"/>
          <w:lang w:val="en-US" w:eastAsia="zh-CN"/>
        </w:rPr>
        <w:t>10</w:t>
      </w:r>
      <w:r>
        <w:rPr>
          <w:rFonts w:hint="default" w:ascii="Times New Roman" w:hAnsi="Times New Roman" w:eastAsia="黑体" w:cs="Times New Roman"/>
          <w:color w:val="auto"/>
          <w:spacing w:val="0"/>
          <w:sz w:val="28"/>
          <w:szCs w:val="28"/>
          <w:highlight w:val="none"/>
          <w:u w:val="none" w:color="auto"/>
          <w:lang w:val="en-US" w:eastAsia="zh-CN"/>
        </w:rPr>
        <w:t xml:space="preserve"> 乡村振兴重点工程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15A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14:paraId="2BC592E3">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仿宋_GB2312" w:cs="Times New Roman"/>
                <w:i w:val="0"/>
                <w:iCs w:val="0"/>
                <w:caps w:val="0"/>
                <w:color w:val="auto"/>
                <w:spacing w:val="0"/>
                <w:sz w:val="28"/>
                <w:szCs w:val="28"/>
                <w:highlight w:val="none"/>
                <w:u w:val="none" w:color="auto"/>
                <w:shd w:val="clear" w:fill="FFFFFF"/>
              </w:rPr>
            </w:pPr>
            <w:r>
              <w:rPr>
                <w:rFonts w:hint="default" w:ascii="Times New Roman" w:hAnsi="Times New Roman" w:eastAsia="楷体_GB2312" w:cs="Times New Roman"/>
                <w:b w:val="0"/>
                <w:bCs w:val="0"/>
                <w:i w:val="0"/>
                <w:iCs w:val="0"/>
                <w:caps w:val="0"/>
                <w:color w:val="auto"/>
                <w:spacing w:val="0"/>
                <w:sz w:val="28"/>
                <w:szCs w:val="28"/>
                <w:highlight w:val="none"/>
                <w:u w:val="none" w:color="auto"/>
                <w:shd w:val="clear" w:fill="FFFFFF"/>
                <w:lang w:val="en-US" w:eastAsia="zh-CN"/>
              </w:rPr>
              <w:t>1.</w:t>
            </w:r>
            <w:r>
              <w:rPr>
                <w:rFonts w:hint="default" w:ascii="Times New Roman" w:hAnsi="Times New Roman" w:eastAsia="楷体_GB2312" w:cs="Times New Roman"/>
                <w:b w:val="0"/>
                <w:bCs w:val="0"/>
                <w:i w:val="0"/>
                <w:iCs w:val="0"/>
                <w:caps w:val="0"/>
                <w:color w:val="auto"/>
                <w:spacing w:val="0"/>
                <w:sz w:val="28"/>
                <w:szCs w:val="28"/>
                <w:highlight w:val="none"/>
                <w:u w:val="none" w:color="auto"/>
                <w:shd w:val="clear" w:fill="FFFFFF"/>
              </w:rPr>
              <w:t>现代农业强基工程</w:t>
            </w:r>
            <w:r>
              <w:rPr>
                <w:rFonts w:hint="default" w:ascii="Times New Roman" w:hAnsi="Times New Roman" w:eastAsia="楷体_GB2312" w:cs="Times New Roman"/>
                <w:b w:val="0"/>
                <w:bCs w:val="0"/>
                <w:i w:val="0"/>
                <w:iCs w:val="0"/>
                <w:caps w:val="0"/>
                <w:color w:val="auto"/>
                <w:spacing w:val="0"/>
                <w:sz w:val="28"/>
                <w:szCs w:val="28"/>
                <w:highlight w:val="none"/>
                <w:u w:val="none" w:color="auto"/>
                <w:shd w:val="clear" w:fill="FFFFFF"/>
                <w:lang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夯实农业发展基础，优化农业生产空间，</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开展</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菏泽市定陶区高标准农田建设项目</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eastAsia="zh-CN"/>
              </w:rPr>
              <w:t>、菏泽市定陶区玉米单产提升工程项目，</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全面提升粮食和重要农产品的综合生产能力与抗风险能力，筑牢区域粮食安全与农业现代化基石。</w:t>
            </w:r>
          </w:p>
          <w:p w14:paraId="0A393E6E">
            <w:pPr>
              <w:keepNext w:val="0"/>
              <w:keepLines w:val="0"/>
              <w:pageBreakBefore w:val="0"/>
              <w:widowControl w:val="0"/>
              <w:shd w:val="clear"/>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楷体_GB2312" w:cs="Times New Roman"/>
                <w:i w:val="0"/>
                <w:iCs w:val="0"/>
                <w:caps w:val="0"/>
                <w:color w:val="auto"/>
                <w:spacing w:val="0"/>
                <w:sz w:val="28"/>
                <w:szCs w:val="28"/>
                <w:highlight w:val="none"/>
                <w:u w:val="none" w:color="auto"/>
                <w:shd w:val="clear" w:fill="FFFFFF"/>
                <w:lang w:val="en-US" w:eastAsia="zh-CN"/>
              </w:rPr>
            </w:pPr>
            <w:r>
              <w:rPr>
                <w:rFonts w:hint="default" w:ascii="Times New Roman" w:hAnsi="Times New Roman" w:eastAsia="楷体_GB2312" w:cs="Times New Roman"/>
                <w:b w:val="0"/>
                <w:bCs w:val="0"/>
                <w:i w:val="0"/>
                <w:iCs w:val="0"/>
                <w:caps w:val="0"/>
                <w:color w:val="auto"/>
                <w:spacing w:val="0"/>
                <w:sz w:val="28"/>
                <w:szCs w:val="28"/>
                <w:highlight w:val="none"/>
                <w:u w:val="none" w:color="auto"/>
                <w:shd w:val="clear" w:fill="FFFFFF"/>
                <w:lang w:val="en-US" w:eastAsia="zh-CN"/>
              </w:rPr>
              <w:t>2.和美乡村建设工程。</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以提升农民生活品质为核心，统筹推进定陶区美丽乡村提升改造项目</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eastAsia="zh-CN"/>
              </w:rPr>
              <w:t>，</w:t>
            </w:r>
            <w:r>
              <w:rPr>
                <w:rFonts w:hint="default" w:ascii="Times New Roman" w:hAnsi="Times New Roman" w:eastAsia="仿宋_GB2312" w:cs="Times New Roman"/>
                <w:i w:val="0"/>
                <w:iCs w:val="0"/>
                <w:caps w:val="0"/>
                <w:color w:val="auto"/>
                <w:spacing w:val="0"/>
                <w:sz w:val="28"/>
                <w:szCs w:val="28"/>
                <w:highlight w:val="none"/>
                <w:u w:val="none" w:color="auto"/>
                <w:shd w:val="clear" w:fill="FFFFFF"/>
                <w:lang w:val="en-US" w:eastAsia="zh-CN"/>
              </w:rPr>
              <w:t>加快</w:t>
            </w:r>
            <w:r>
              <w:rPr>
                <w:rFonts w:hint="default" w:ascii="Times New Roman" w:hAnsi="Times New Roman" w:eastAsia="仿宋_GB2312" w:cs="Times New Roman"/>
                <w:i w:val="0"/>
                <w:iCs w:val="0"/>
                <w:caps w:val="0"/>
                <w:color w:val="auto"/>
                <w:spacing w:val="0"/>
                <w:sz w:val="28"/>
                <w:szCs w:val="28"/>
                <w:highlight w:val="none"/>
                <w:u w:val="none" w:color="auto"/>
                <w:shd w:val="clear" w:fill="FFFFFF"/>
              </w:rPr>
              <w:t>农村人居环境整治、基础设施提档和乡村风貌塑造，建设宜居宜业、富有特色的和美乡村，增强农民群众的获得感、幸福感。</w:t>
            </w:r>
          </w:p>
        </w:tc>
      </w:tr>
    </w:tbl>
    <w:p w14:paraId="19B11E28">
      <w:pPr>
        <w:shd w:val="clear"/>
        <w:overflowPunct w:val="0"/>
        <w:spacing w:line="240" w:lineRule="auto"/>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rPr>
      </w:pPr>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rPr>
        <w:br w:type="page"/>
      </w:r>
    </w:p>
    <w:p w14:paraId="76D7F10C">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82" w:name="_Toc4525"/>
      <w:bookmarkStart w:id="83" w:name="_Toc3783"/>
      <w:bookmarkStart w:id="84" w:name="_Toc305076043"/>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 xml:space="preserve">第八章 融入新发展格局 </w:t>
      </w:r>
      <w:bookmarkEnd w:id="82"/>
      <w:bookmarkEnd w:id="83"/>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释放市场深层活力</w:t>
      </w:r>
      <w:bookmarkEnd w:id="84"/>
    </w:p>
    <w:p w14:paraId="38BA6C07">
      <w:pPr>
        <w:shd w:val="clear"/>
        <w:spacing w:line="240" w:lineRule="auto"/>
        <w:ind w:firstLine="632"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坚持惠民生和促消费、投资于物和投资于人紧密结合，促进消费和投资、供给和需求良性互动，增强国内大循环内生动力和可靠性。</w:t>
      </w:r>
    </w:p>
    <w:p w14:paraId="584A9FB8">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85" w:name="_Toc36431069"/>
      <w:bookmarkStart w:id="86" w:name="_Toc29647"/>
      <w:bookmarkStart w:id="87" w:name="_Toc13711"/>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促进消费提质扩容</w:t>
      </w:r>
      <w:bookmarkEnd w:id="85"/>
      <w:bookmarkEnd w:id="86"/>
      <w:bookmarkEnd w:id="87"/>
    </w:p>
    <w:p w14:paraId="76528A3F">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立足消费升级与城市发展新要求，以提升城市商业活力与居民生活品质为核心，推动商业体系提质扩容，培育消费新动能，加快构建分层分类、便捷高效、特色鲜明的</w:t>
      </w:r>
      <w:r>
        <w:rPr>
          <w:rFonts w:hint="default" w:ascii="Times New Roman" w:hAnsi="Times New Roman" w:cs="Times New Roman"/>
          <w:color w:val="auto"/>
          <w:highlight w:val="none"/>
          <w:lang w:val="en-US" w:eastAsia="zh-CN"/>
        </w:rPr>
        <w:t>现代</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商业服务体系。</w:t>
      </w:r>
    </w:p>
    <w:p w14:paraId="25412A27">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优化消费空间布局。</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结合城市更新和区域发展规划，优化传统商业网点布局，推动业态升级和功能融合。重点培育一批具有区域辐射力的商业中心和特色商业街区，支持大型商贸企业创新营销模式，加快发展智慧商圈、智慧商店。持续推进陶都府苑、祥泰等“一刻钟便民生活圈”建设，完善购物、餐饮、亲子、娱乐、休闲等一站式服务功能，提升社区商业配套水平，更好满足居民日常高频与品质化消费需求。</w:t>
      </w:r>
    </w:p>
    <w:p w14:paraId="38EC134B">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创新特色消费场景。</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完善促消费联动机制，积极拓展健康、文旅、赛事、银发等领域消费新场景。大力发展首发经济，依托汽车小镇、祥泰商业综合体等载体，</w:t>
      </w:r>
      <w:r>
        <w:rPr>
          <w:rFonts w:hint="default" w:ascii="Times New Roman" w:hAnsi="Times New Roman" w:cs="Times New Roman"/>
          <w:color w:val="auto"/>
          <w:highlight w:val="none"/>
          <w:lang w:val="en-US" w:eastAsia="zh-CN"/>
        </w:rPr>
        <w:t>吸引</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国内外知名品牌设立首店、旗舰店，开展新品首发和展示体验活动。持续繁荣夜间经济，提升陶驿路、镜湖广场商圈消费品质，打造集休闲、运动、社交、体验于一体的夜间消费集聚区。</w:t>
      </w:r>
    </w:p>
    <w:p w14:paraId="4056C9D3">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培育</w:t>
      </w: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特色消费品牌。</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实施消费提振跃升行动，持续打造“惠享定陶”区域消费品牌</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积极瞄准国潮经济，依托定陶非遗社区建设、</w:t>
      </w:r>
      <w:r>
        <w:rPr>
          <w:rFonts w:hint="default" w:ascii="Times New Roman" w:hAnsi="Times New Roman" w:eastAsia="仿宋_GB2312" w:cs="Times New Roman"/>
          <w:color w:val="auto"/>
          <w:sz w:val="32"/>
          <w:szCs w:val="32"/>
          <w:highlight w:val="none"/>
          <w:u w:val="none" w:color="auto"/>
          <w:lang w:eastAsia="zh-CN"/>
        </w:rPr>
        <w:t>“唐风古韵”</w:t>
      </w:r>
      <w:r>
        <w:rPr>
          <w:rFonts w:hint="default" w:ascii="Times New Roman" w:hAnsi="Times New Roman" w:eastAsia="仿宋_GB2312" w:cs="Times New Roman"/>
          <w:color w:val="auto"/>
          <w:sz w:val="32"/>
          <w:szCs w:val="32"/>
          <w:highlight w:val="none"/>
          <w:u w:val="none" w:color="auto"/>
          <w:lang w:val="en-US" w:eastAsia="zh-CN"/>
        </w:rPr>
        <w:t>IP</w:t>
      </w:r>
      <w:r>
        <w:rPr>
          <w:rFonts w:hint="default" w:ascii="Times New Roman" w:hAnsi="Times New Roman" w:eastAsia="仿宋_GB2312" w:cs="Times New Roman"/>
          <w:color w:val="auto"/>
          <w:sz w:val="32"/>
          <w:szCs w:val="32"/>
          <w:highlight w:val="none"/>
          <w:u w:val="none" w:color="auto"/>
          <w:lang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激活年轻人消费动能。突出发展味蕾经济，充分发挥壮馍</w:t>
      </w:r>
      <w:r>
        <w:rPr>
          <w:rStyle w:val="19"/>
          <w:rFonts w:hint="eastAsia"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柴烧鸡</w:t>
      </w:r>
      <w:r>
        <w:rPr>
          <w:rStyle w:val="19"/>
          <w:rFonts w:hint="eastAsia"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牡丹鲜花饼</w:t>
      </w:r>
      <w:r>
        <w:rPr>
          <w:rStyle w:val="19"/>
          <w:rFonts w:hint="eastAsia" w:ascii="Times New Roman" w:hAnsi="Times New Roman" w:cs="Times New Roman"/>
          <w:b w:val="0"/>
          <w:bCs w:val="0"/>
          <w:i w:val="0"/>
          <w:iCs w:val="0"/>
          <w:caps w:val="0"/>
          <w:color w:val="auto"/>
          <w:spacing w:val="0"/>
          <w:sz w:val="32"/>
          <w:szCs w:val="32"/>
          <w:highlight w:val="none"/>
          <w:u w:val="none" w:color="auto"/>
          <w:shd w:val="clear" w:fill="FFFFFF"/>
          <w:lang w:val="en-US" w:eastAsia="zh-CN"/>
        </w:rPr>
        <w:t>等</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特色资源作用，推出一批具有文化辨识度的老字号创新产品，点燃舌尖上</w:t>
      </w:r>
      <w:r>
        <w:rPr>
          <w:rStyle w:val="19"/>
          <w:rFonts w:hint="eastAsia" w:ascii="Times New Roman" w:hAnsi="Times New Roman" w:cs="Times New Roman"/>
          <w:b w:val="0"/>
          <w:bCs w:val="0"/>
          <w:i w:val="0"/>
          <w:iCs w:val="0"/>
          <w:caps w:val="0"/>
          <w:color w:val="auto"/>
          <w:spacing w:val="0"/>
          <w:sz w:val="32"/>
          <w:szCs w:val="32"/>
          <w:highlight w:val="none"/>
          <w:u w:val="none" w:color="auto"/>
          <w:shd w:val="clear" w:fill="FFFFFF"/>
          <w:lang w:val="en-US" w:eastAsia="zh-CN"/>
        </w:rPr>
        <w:t>的</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消费潜能。探索发展地标经济，依托</w:t>
      </w:r>
      <w:r>
        <w:rPr>
          <w:rFonts w:hint="eastAsia" w:ascii="Times New Roman" w:hAnsi="Times New Roman" w:cs="Times New Roman"/>
          <w:color w:val="auto"/>
          <w:spacing w:val="5"/>
          <w:kern w:val="2"/>
          <w:sz w:val="32"/>
          <w:szCs w:val="32"/>
          <w:highlight w:val="none"/>
          <w:u w:val="none" w:color="auto"/>
          <w:lang w:val="en-US" w:eastAsia="zh-CN" w:bidi="ar-SA"/>
        </w:rPr>
        <w:t>黄店</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玫瑰、南王店西瓜、半堤胡萝卜等地理标志性产品，加快推报杜堂蔬菜</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等作为</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地理标志性产品</w:t>
      </w:r>
      <w:r>
        <w:rPr>
          <w:rStyle w:val="19"/>
          <w:rFonts w:hint="default" w:ascii="Times New Roman" w:hAnsi="Times New Roman" w:cs="Times New Roman"/>
          <w:b w:val="0"/>
          <w:bCs w:val="0"/>
          <w:i w:val="0"/>
          <w:iCs w:val="0"/>
          <w:caps w:val="0"/>
          <w:color w:val="auto"/>
          <w:spacing w:val="0"/>
          <w:sz w:val="32"/>
          <w:szCs w:val="32"/>
          <w:highlight w:val="none"/>
          <w:u w:val="none" w:color="auto"/>
          <w:shd w:val="clear" w:fill="FFFFFF"/>
          <w:lang w:val="en-US" w:eastAsia="zh-CN"/>
        </w:rPr>
        <w:t>，</w:t>
      </w: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lang w:val="en-US" w:eastAsia="zh-CN"/>
        </w:rPr>
        <w:t>打造具有影响力的地域品牌。</w:t>
      </w:r>
    </w:p>
    <w:p w14:paraId="404A8375">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88" w:name="_Toc1510323429"/>
      <w:bookmarkStart w:id="89" w:name="_Toc22410"/>
      <w:bookmarkStart w:id="90" w:name="_Toc24714"/>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积极扩大有效益的投资</w:t>
      </w:r>
      <w:bookmarkEnd w:id="88"/>
      <w:bookmarkEnd w:id="89"/>
      <w:bookmarkEnd w:id="90"/>
    </w:p>
    <w:p w14:paraId="7344EC11">
      <w:pPr>
        <w:shd w:val="clea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color w:val="auto"/>
          <w:spacing w:val="0"/>
          <w:sz w:val="32"/>
          <w:szCs w:val="32"/>
          <w:highlight w:val="none"/>
          <w:u w:val="none" w:color="auto"/>
          <w:lang w:eastAsia="zh-CN"/>
        </w:rPr>
        <w:t>深化投融资机制创新，统筹优化资金保障与项目推进，积极引导民间资本参与重点领域建设，促进资金高效配置、项目有序落地，全面增强投资对区域经济发展的支撑作用。</w:t>
      </w:r>
    </w:p>
    <w:p w14:paraId="592EF96B">
      <w:pPr>
        <w:shd w:val="clea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精准扩大有效投资</w:t>
      </w:r>
      <w:r>
        <w:rPr>
          <w:rFonts w:hint="default" w:ascii="Times New Roman" w:hAnsi="Times New Roman" w:eastAsia="仿宋_GB2312" w:cs="Times New Roman"/>
          <w:color w:val="auto"/>
          <w:spacing w:val="0"/>
          <w:sz w:val="32"/>
          <w:szCs w:val="32"/>
          <w:highlight w:val="none"/>
          <w:u w:val="none" w:color="auto"/>
          <w:lang w:eastAsia="zh-CN"/>
        </w:rPr>
        <w:t>。优化投资结构与方向，推动投资规模合理增长与综合效益提升。聚焦交通、水利、能源、生态等领域，谋划推进一批重大基础设施项目。支持企业实施高水平技术改造与设备更新，加快推广国产先进设备应用。完善公共服务设施体系，推进保障性住房、养老托育、社区服务等</w:t>
      </w:r>
      <w:r>
        <w:rPr>
          <w:rFonts w:hint="default" w:ascii="Times New Roman" w:hAnsi="Times New Roman" w:cs="Times New Roman"/>
          <w:color w:val="auto"/>
          <w:highlight w:val="none"/>
          <w:lang w:val="en-US" w:eastAsia="zh-CN"/>
        </w:rPr>
        <w:t>生活</w:t>
      </w:r>
      <w:r>
        <w:rPr>
          <w:rFonts w:hint="default" w:ascii="Times New Roman" w:hAnsi="Times New Roman" w:eastAsia="仿宋_GB2312" w:cs="Times New Roman"/>
          <w:color w:val="auto"/>
          <w:spacing w:val="0"/>
          <w:sz w:val="32"/>
          <w:szCs w:val="32"/>
          <w:highlight w:val="none"/>
          <w:u w:val="none" w:color="auto"/>
          <w:lang w:eastAsia="zh-CN"/>
        </w:rPr>
        <w:t>性服务设施建设，扩大消费基础设施投资，推动形成消费与投资良性互动格局。积极盘活存量资产，促进存量资源与新增投资有效衔接。</w:t>
      </w:r>
    </w:p>
    <w:p w14:paraId="52D5C12D">
      <w:pPr>
        <w:shd w:val="clea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强化项目资金保障。</w:t>
      </w:r>
      <w:r>
        <w:rPr>
          <w:rFonts w:hint="default" w:ascii="Times New Roman" w:hAnsi="Times New Roman" w:eastAsia="仿宋_GB2312" w:cs="Times New Roman"/>
          <w:color w:val="auto"/>
          <w:spacing w:val="0"/>
          <w:sz w:val="32"/>
          <w:szCs w:val="32"/>
          <w:highlight w:val="none"/>
          <w:u w:val="none" w:color="auto"/>
          <w:lang w:eastAsia="zh-CN"/>
        </w:rPr>
        <w:t>引导银行机构差异化服务区域发展，鼓励国有商业银行支持重大</w:t>
      </w:r>
      <w:r>
        <w:rPr>
          <w:rFonts w:hint="default" w:ascii="Times New Roman" w:hAnsi="Times New Roman" w:cs="Times New Roman"/>
          <w:color w:val="auto"/>
          <w:highlight w:val="none"/>
          <w:lang w:val="en-US" w:eastAsia="zh-CN"/>
        </w:rPr>
        <w:t>项目</w:t>
      </w:r>
      <w:r>
        <w:rPr>
          <w:rFonts w:hint="default" w:ascii="Times New Roman" w:hAnsi="Times New Roman" w:eastAsia="仿宋_GB2312" w:cs="Times New Roman"/>
          <w:color w:val="auto"/>
          <w:spacing w:val="0"/>
          <w:sz w:val="32"/>
          <w:szCs w:val="32"/>
          <w:highlight w:val="none"/>
          <w:u w:val="none" w:color="auto"/>
          <w:lang w:eastAsia="zh-CN"/>
        </w:rPr>
        <w:t>和基础设施建设，推动地方法人银行聚焦小微企业与民营经济融资需求。积极引进保险、基金、证券等金融机构，完善多层次金融服务体系。强化资本市场功能，实施企业上市培育计划，建立动态后备企业资源库。拓展债券融资渠道，培育多元化发债主体。促进股权投资集聚发展，吸引各类基金落户，发挥政府引导基金撬</w:t>
      </w:r>
      <w:r>
        <w:rPr>
          <w:rFonts w:hint="default" w:ascii="Times New Roman" w:hAnsi="Times New Roman" w:cs="Times New Roman"/>
          <w:color w:val="auto"/>
          <w:highlight w:val="none"/>
          <w:lang w:val="en-US" w:eastAsia="zh-CN"/>
        </w:rPr>
        <w:t>动作</w:t>
      </w:r>
      <w:r>
        <w:rPr>
          <w:rFonts w:hint="default" w:ascii="Times New Roman" w:hAnsi="Times New Roman" w:eastAsia="仿宋_GB2312" w:cs="Times New Roman"/>
          <w:color w:val="auto"/>
          <w:spacing w:val="0"/>
          <w:sz w:val="32"/>
          <w:szCs w:val="32"/>
          <w:highlight w:val="none"/>
          <w:u w:val="none" w:color="auto"/>
          <w:lang w:eastAsia="zh-CN"/>
        </w:rPr>
        <w:t>用。搭建常态化政金企对接平台，促进金融资源与实体经济精准匹配。健全金融风险防控机制，开展重点领域风险常态化排查，稳妥化解不良资产，守牢金融安全底线。</w:t>
      </w:r>
    </w:p>
    <w:p w14:paraId="14E9B173">
      <w:pPr>
        <w:shd w:val="clea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激发民间投资活力。</w:t>
      </w:r>
      <w:r>
        <w:rPr>
          <w:rFonts w:hint="default" w:ascii="Times New Roman" w:hAnsi="Times New Roman" w:eastAsia="仿宋_GB2312" w:cs="Times New Roman"/>
          <w:color w:val="auto"/>
          <w:spacing w:val="0"/>
          <w:sz w:val="32"/>
          <w:szCs w:val="32"/>
          <w:highlight w:val="none"/>
          <w:u w:val="none" w:color="auto"/>
          <w:lang w:eastAsia="zh-CN"/>
        </w:rPr>
        <w:t>制定促进民间投资专项措施，探索建立区级重点民间投资项目库，健全民营企业参与全区重大项目长效机制。创新投融资模式，规范实施政府与社会资本合作，推动基础设施REITs试点，支持社会资本参与重点领域项目建设和运营。优化民间投资环境，全面</w:t>
      </w:r>
      <w:r>
        <w:rPr>
          <w:rFonts w:hint="default" w:ascii="Times New Roman" w:hAnsi="Times New Roman" w:cs="Times New Roman"/>
          <w:color w:val="auto"/>
          <w:highlight w:val="none"/>
          <w:lang w:val="en-US" w:eastAsia="zh-CN"/>
        </w:rPr>
        <w:t>落实</w:t>
      </w:r>
      <w:r>
        <w:rPr>
          <w:rFonts w:hint="default" w:ascii="Times New Roman" w:hAnsi="Times New Roman" w:eastAsia="仿宋_GB2312" w:cs="Times New Roman"/>
          <w:color w:val="auto"/>
          <w:spacing w:val="0"/>
          <w:sz w:val="32"/>
          <w:szCs w:val="32"/>
          <w:highlight w:val="none"/>
          <w:u w:val="none" w:color="auto"/>
          <w:lang w:eastAsia="zh-CN"/>
        </w:rPr>
        <w:t>市场准入负面清单制度，清理招投标、政府采购等领域隐性壁垒。完善政策服务体系，依托数字化平台提升惠企政策兑现效率，发布民间</w:t>
      </w:r>
      <w:r>
        <w:rPr>
          <w:rFonts w:hint="default" w:ascii="Times New Roman" w:hAnsi="Times New Roman" w:cs="Times New Roman"/>
          <w:color w:val="auto"/>
          <w:highlight w:val="none"/>
          <w:lang w:val="en-US" w:eastAsia="zh-CN"/>
        </w:rPr>
        <w:t>投资</w:t>
      </w:r>
      <w:r>
        <w:rPr>
          <w:rFonts w:hint="default" w:ascii="Times New Roman" w:hAnsi="Times New Roman" w:eastAsia="仿宋_GB2312" w:cs="Times New Roman"/>
          <w:color w:val="auto"/>
          <w:spacing w:val="0"/>
          <w:sz w:val="32"/>
          <w:szCs w:val="32"/>
          <w:highlight w:val="none"/>
          <w:u w:val="none" w:color="auto"/>
          <w:lang w:eastAsia="zh-CN"/>
        </w:rPr>
        <w:t>机会清单，引导民间资本投向先进制造、现代服务、绿色低碳等战略领域。健全权益保障机制，建立拖欠账款预防与清理长效机制，加强政务诚信建设，依法保护各类投资主体合法权益。</w:t>
      </w:r>
    </w:p>
    <w:p w14:paraId="6E462FA8">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91" w:name="_Toc611"/>
      <w:bookmarkStart w:id="92" w:name="_Toc8904"/>
      <w:bookmarkStart w:id="93" w:name="_Toc98563565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服务全国统一大市场</w:t>
      </w:r>
      <w:bookmarkEnd w:id="91"/>
      <w:bookmarkEnd w:id="9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建设</w:t>
      </w:r>
      <w:bookmarkEnd w:id="93"/>
    </w:p>
    <w:p w14:paraId="02B5AFB4">
      <w:pPr>
        <w:shd w:val="clear"/>
        <w:spacing w:line="240" w:lineRule="auto"/>
        <w:ind w:firstLine="632" w:firstLineChars="200"/>
        <w:rPr>
          <w:rFonts w:hint="default" w:ascii="Times New Roman" w:hAnsi="Times New Roman" w:eastAsia="仿宋_GB2312" w:cs="Times New Roman"/>
          <w:color w:val="auto"/>
          <w:spacing w:val="0"/>
          <w:kern w:val="2"/>
          <w:sz w:val="32"/>
          <w:szCs w:val="24"/>
          <w:highlight w:val="none"/>
          <w:u w:val="none" w:color="auto"/>
          <w:lang w:val="en-US" w:eastAsia="zh-CN" w:bidi="ar-SA"/>
        </w:rPr>
      </w:pPr>
      <w:r>
        <w:rPr>
          <w:rFonts w:hint="default" w:ascii="Times New Roman" w:hAnsi="Times New Roman" w:eastAsia="仿宋_GB2312" w:cs="Times New Roman"/>
          <w:color w:val="auto"/>
          <w:spacing w:val="0"/>
          <w:kern w:val="2"/>
          <w:sz w:val="32"/>
          <w:szCs w:val="24"/>
          <w:highlight w:val="none"/>
          <w:u w:val="none" w:color="auto"/>
          <w:lang w:val="en-US" w:eastAsia="zh-CN" w:bidi="ar-SA"/>
        </w:rPr>
        <w:t>着力完善产权保护、市场准入等基础制度规则，全面清理各类显性和隐性市场壁垒，保障商品与要素自由流动</w:t>
      </w:r>
      <w:r>
        <w:rPr>
          <w:rFonts w:hint="default" w:ascii="Times New Roman" w:hAnsi="Times New Roman" w:cs="Times New Roman"/>
          <w:color w:val="auto"/>
          <w:spacing w:val="0"/>
          <w:kern w:val="2"/>
          <w:sz w:val="32"/>
          <w:szCs w:val="24"/>
          <w:highlight w:val="none"/>
          <w:u w:val="none" w:color="auto"/>
          <w:lang w:val="en-US" w:eastAsia="zh-CN" w:bidi="ar-SA"/>
        </w:rPr>
        <w:t>，</w:t>
      </w:r>
      <w:r>
        <w:rPr>
          <w:rFonts w:hint="default" w:ascii="Times New Roman" w:hAnsi="Times New Roman" w:eastAsia="仿宋_GB2312" w:cs="Times New Roman"/>
          <w:color w:val="auto"/>
          <w:spacing w:val="0"/>
          <w:kern w:val="2"/>
          <w:sz w:val="32"/>
          <w:szCs w:val="24"/>
          <w:highlight w:val="none"/>
          <w:u w:val="none" w:color="auto"/>
          <w:lang w:val="en-US" w:eastAsia="zh-CN" w:bidi="ar-SA"/>
        </w:rPr>
        <w:t>统一监管执法标准，优化跨区域利益协调，营造稳定</w:t>
      </w:r>
      <w:r>
        <w:rPr>
          <w:rFonts w:hint="eastAsia" w:ascii="Times New Roman" w:hAnsi="Times New Roman" w:cs="Times New Roman"/>
          <w:color w:val="auto"/>
          <w:spacing w:val="0"/>
          <w:kern w:val="2"/>
          <w:sz w:val="32"/>
          <w:szCs w:val="24"/>
          <w:highlight w:val="none"/>
          <w:u w:val="none" w:color="auto"/>
          <w:lang w:val="en-US" w:eastAsia="zh-CN" w:bidi="ar-SA"/>
        </w:rPr>
        <w:t>、</w:t>
      </w:r>
      <w:r>
        <w:rPr>
          <w:rFonts w:hint="default" w:ascii="Times New Roman" w:hAnsi="Times New Roman" w:eastAsia="仿宋_GB2312" w:cs="Times New Roman"/>
          <w:color w:val="auto"/>
          <w:spacing w:val="0"/>
          <w:kern w:val="2"/>
          <w:sz w:val="32"/>
          <w:szCs w:val="24"/>
          <w:highlight w:val="none"/>
          <w:u w:val="none" w:color="auto"/>
          <w:lang w:val="en-US" w:eastAsia="zh-CN" w:bidi="ar-SA"/>
        </w:rPr>
        <w:t>公平</w:t>
      </w:r>
      <w:r>
        <w:rPr>
          <w:rFonts w:hint="eastAsia" w:ascii="Times New Roman" w:hAnsi="Times New Roman" w:cs="Times New Roman"/>
          <w:color w:val="auto"/>
          <w:spacing w:val="0"/>
          <w:kern w:val="2"/>
          <w:sz w:val="32"/>
          <w:szCs w:val="24"/>
          <w:highlight w:val="none"/>
          <w:u w:val="none" w:color="auto"/>
          <w:lang w:val="en-US" w:eastAsia="zh-CN" w:bidi="ar-SA"/>
        </w:rPr>
        <w:t>、</w:t>
      </w:r>
      <w:r>
        <w:rPr>
          <w:rFonts w:hint="default" w:ascii="Times New Roman" w:hAnsi="Times New Roman" w:eastAsia="仿宋_GB2312" w:cs="Times New Roman"/>
          <w:color w:val="auto"/>
          <w:spacing w:val="0"/>
          <w:kern w:val="2"/>
          <w:sz w:val="32"/>
          <w:szCs w:val="24"/>
          <w:highlight w:val="none"/>
          <w:u w:val="none" w:color="auto"/>
          <w:lang w:val="en-US" w:eastAsia="zh-CN" w:bidi="ar-SA"/>
        </w:rPr>
        <w:t>透明的营商环境。</w:t>
      </w:r>
    </w:p>
    <w:p w14:paraId="14503285">
      <w:pPr>
        <w:shd w:val="clear"/>
        <w:spacing w:line="240" w:lineRule="auto"/>
        <w:ind w:firstLine="632" w:firstLineChars="200"/>
        <w:rPr>
          <w:rFonts w:hint="default" w:ascii="Times New Roman" w:hAnsi="Times New Roman" w:eastAsia="仿宋_GB2312" w:cs="Times New Roman"/>
          <w:color w:val="auto"/>
          <w:spacing w:val="0"/>
          <w:kern w:val="2"/>
          <w:sz w:val="32"/>
          <w:szCs w:val="24"/>
          <w:highlight w:val="none"/>
          <w:u w:val="none" w:color="auto"/>
          <w:lang w:val="en-US" w:eastAsia="zh-CN" w:bidi="ar-SA"/>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强化市场基础制度规则统一。</w:t>
      </w:r>
      <w:r>
        <w:rPr>
          <w:rFonts w:hint="default" w:ascii="Times New Roman" w:hAnsi="Times New Roman" w:eastAsia="仿宋_GB2312" w:cs="Times New Roman"/>
          <w:color w:val="auto"/>
          <w:spacing w:val="0"/>
          <w:kern w:val="2"/>
          <w:sz w:val="32"/>
          <w:szCs w:val="24"/>
          <w:highlight w:val="none"/>
          <w:u w:val="none" w:color="auto"/>
          <w:lang w:val="en-US" w:eastAsia="zh-CN" w:bidi="ar-SA"/>
        </w:rPr>
        <w:t>全面完善产权保护、市场准入、公平竞争、社会信用等市场经济基础性制度，确保规则统一、执行协同。着力清理废除要素获取、资质认定、招标投标、政府采购等领域存在的壁垒，保障各类经营主体平等准入、公平竞争。严格规范地方政府补贴、招商等经济促进行为，从源头破除可能引发地方保护和市场分割的体制机制障碍，促进商品和要素在更大范围内畅通流动。</w:t>
      </w:r>
    </w:p>
    <w:p w14:paraId="62A6F310">
      <w:pPr>
        <w:shd w:val="clear"/>
        <w:spacing w:line="240" w:lineRule="auto"/>
        <w:ind w:firstLine="632" w:firstLineChars="200"/>
        <w:rPr>
          <w:rFonts w:hint="default" w:ascii="Times New Roman" w:hAnsi="Times New Roman" w:eastAsia="仿宋_GB2312" w:cs="Times New Roman"/>
          <w:color w:val="auto"/>
          <w:spacing w:val="0"/>
          <w:kern w:val="2"/>
          <w:sz w:val="32"/>
          <w:szCs w:val="24"/>
          <w:highlight w:val="none"/>
          <w:u w:val="none" w:color="auto"/>
          <w:lang w:val="en-US" w:eastAsia="zh-CN" w:bidi="ar-SA"/>
        </w:rPr>
      </w:pPr>
      <w:r>
        <w:rPr>
          <w:rStyle w:val="19"/>
          <w:rFonts w:hint="default" w:ascii="Times New Roman" w:hAnsi="Times New Roman" w:eastAsia="仿宋_GB2312" w:cs="Times New Roman"/>
          <w:b/>
          <w:bCs/>
          <w:i w:val="0"/>
          <w:iCs w:val="0"/>
          <w:caps w:val="0"/>
          <w:color w:val="auto"/>
          <w:spacing w:val="0"/>
          <w:sz w:val="32"/>
          <w:szCs w:val="32"/>
          <w:highlight w:val="none"/>
          <w:u w:val="none" w:color="auto"/>
          <w:shd w:val="clear" w:fill="FFFFFF"/>
          <w:lang w:val="en-US" w:eastAsia="zh-CN"/>
        </w:rPr>
        <w:t>综合整治“内卷式”竞争。</w:t>
      </w:r>
      <w:r>
        <w:rPr>
          <w:rFonts w:hint="default" w:ascii="Times New Roman" w:hAnsi="Times New Roman" w:eastAsia="仿宋_GB2312" w:cs="Times New Roman"/>
          <w:color w:val="auto"/>
          <w:spacing w:val="0"/>
          <w:kern w:val="2"/>
          <w:sz w:val="32"/>
          <w:szCs w:val="24"/>
          <w:highlight w:val="none"/>
          <w:u w:val="none" w:color="auto"/>
          <w:lang w:val="en-US" w:eastAsia="zh-CN" w:bidi="ar-SA"/>
        </w:rPr>
        <w:t>推进市场监管综合执法体系建设和执法标准统一，强化质量安全监管，完善并细化行政处罚裁量基准。加强反垄断与反不正当竞争执法司法，严厉打击各类垄断协议、滥用市场支配</w:t>
      </w:r>
      <w:r>
        <w:rPr>
          <w:rFonts w:hint="default" w:ascii="Times New Roman" w:hAnsi="Times New Roman" w:cs="Times New Roman"/>
          <w:color w:val="auto"/>
          <w:highlight w:val="none"/>
          <w:lang w:val="en-US" w:eastAsia="zh-CN"/>
        </w:rPr>
        <w:t>地位</w:t>
      </w:r>
      <w:r>
        <w:rPr>
          <w:rFonts w:hint="default" w:ascii="Times New Roman" w:hAnsi="Times New Roman" w:eastAsia="仿宋_GB2312" w:cs="Times New Roman"/>
          <w:color w:val="auto"/>
          <w:spacing w:val="0"/>
          <w:kern w:val="2"/>
          <w:sz w:val="32"/>
          <w:szCs w:val="24"/>
          <w:highlight w:val="none"/>
          <w:u w:val="none" w:color="auto"/>
          <w:lang w:val="en-US" w:eastAsia="zh-CN" w:bidi="ar-SA"/>
        </w:rPr>
        <w:t>及“内卷式”恶性竞争行为，引导形成优质优价、良性循环的市场竞争秩序。大力发展多式联运，有效降低全社会物流成本</w:t>
      </w:r>
      <w:r>
        <w:rPr>
          <w:rFonts w:hint="default" w:ascii="Times New Roman" w:hAnsi="Times New Roman" w:cs="Times New Roman"/>
          <w:color w:val="auto"/>
          <w:spacing w:val="0"/>
          <w:kern w:val="2"/>
          <w:sz w:val="32"/>
          <w:szCs w:val="24"/>
          <w:highlight w:val="none"/>
          <w:u w:val="none" w:color="auto"/>
          <w:lang w:val="en-US" w:eastAsia="zh-CN" w:bidi="ar-SA"/>
        </w:rPr>
        <w:t>，</w:t>
      </w:r>
      <w:r>
        <w:rPr>
          <w:rFonts w:hint="default" w:ascii="Times New Roman" w:hAnsi="Times New Roman" w:eastAsia="仿宋_GB2312" w:cs="Times New Roman"/>
          <w:color w:val="auto"/>
          <w:spacing w:val="0"/>
          <w:kern w:val="2"/>
          <w:sz w:val="32"/>
          <w:szCs w:val="24"/>
          <w:highlight w:val="none"/>
          <w:u w:val="none" w:color="auto"/>
          <w:lang w:val="en-US" w:eastAsia="zh-CN" w:bidi="ar-SA"/>
        </w:rPr>
        <w:t>营造稳定、公平、透明、可预期的营商环境。</w:t>
      </w:r>
    </w:p>
    <w:p w14:paraId="5FE0A298">
      <w:pPr>
        <w:pStyle w:val="14"/>
        <w:widowControl/>
        <w:shd w:val="clear"/>
        <w:overflowPunct w:val="0"/>
        <w:spacing w:line="240" w:lineRule="auto"/>
        <w:ind w:firstLine="632" w:firstLineChars="200"/>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br w:type="page"/>
      </w:r>
    </w:p>
    <w:p w14:paraId="76894285">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94" w:name="_Toc644703287"/>
      <w:bookmarkStart w:id="95" w:name="_Toc29236"/>
      <w:bookmarkStart w:id="96" w:name="_Toc178"/>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第九章 繁荣发展社会主义文化 全面提升城市文化软实力</w:t>
      </w:r>
      <w:bookmarkEnd w:id="94"/>
      <w:bookmarkEnd w:id="95"/>
      <w:bookmarkEnd w:id="96"/>
    </w:p>
    <w:p w14:paraId="2A6A642D">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坚持文化建设着眼于人、落脚于人，切实担负起新时代文化使命，推动优秀传统文化创造性</w:t>
      </w:r>
      <w:r>
        <w:rPr>
          <w:rFonts w:hint="default" w:ascii="Times New Roman" w:hAnsi="Times New Roman" w:cs="Times New Roman"/>
          <w:color w:val="auto"/>
          <w:highlight w:val="none"/>
          <w:lang w:val="en-US" w:eastAsia="zh-CN"/>
        </w:rPr>
        <w:t>转化</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、创新性发展，加快建设文化强区。</w:t>
      </w:r>
    </w:p>
    <w:p w14:paraId="429C4258">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97" w:name="_Toc27371"/>
      <w:bookmarkStart w:id="98" w:name="_Toc239895295"/>
      <w:bookmarkStart w:id="99" w:name="_Toc19218"/>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弘扬和践行社会主义核心价值观</w:t>
      </w:r>
      <w:bookmarkEnd w:id="97"/>
      <w:bookmarkEnd w:id="98"/>
      <w:bookmarkEnd w:id="99"/>
    </w:p>
    <w:p w14:paraId="38006BF2">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Cs/>
          <w:color w:val="auto"/>
          <w:spacing w:val="0"/>
          <w:kern w:val="2"/>
          <w:sz w:val="32"/>
          <w:szCs w:val="32"/>
          <w:highlight w:val="none"/>
          <w:u w:val="none" w:color="auto"/>
          <w:lang w:val="en-US" w:eastAsia="zh-CN" w:bidi="ar-SA"/>
        </w:rPr>
        <w:t>持续深入开展习近平新时代中国特色社会主义思想学习教育，推动其常态化、制度化。健全以党史学习教育为核心，融合革命传统、爱国主义、集体主义、</w:t>
      </w:r>
      <w:r>
        <w:rPr>
          <w:rFonts w:hint="default" w:ascii="Times New Roman" w:hAnsi="Times New Roman" w:cs="Times New Roman"/>
          <w:color w:val="auto"/>
          <w:highlight w:val="none"/>
          <w:lang w:val="en-US" w:eastAsia="zh-CN"/>
        </w:rPr>
        <w:t>社会主义</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及全民国防教育的长效机制，筑牢理想信念根基。强化社会主义核心价值观的引领</w:t>
      </w:r>
      <w:r>
        <w:rPr>
          <w:rFonts w:hint="default" w:ascii="Times New Roman" w:hAnsi="Times New Roman" w:cs="Times New Roman"/>
          <w:bCs/>
          <w:color w:val="auto"/>
          <w:spacing w:val="0"/>
          <w:kern w:val="2"/>
          <w:sz w:val="32"/>
          <w:szCs w:val="32"/>
          <w:highlight w:val="none"/>
          <w:u w:val="none" w:color="auto"/>
          <w:lang w:val="en-US" w:eastAsia="zh-CN" w:bidi="ar-SA"/>
        </w:rPr>
        <w:t>和</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凝心铸魂作用，深度融入法治建设、社会治理、教育体系和日常生活。深入推进公民道德建设与群众性精神文明创建，创新宣传载体与实践平台，全面提升社会文明程度与公民文明素养，为现代化建设汇聚强大精神力量。</w:t>
      </w:r>
    </w:p>
    <w:p w14:paraId="2CA71438">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00" w:name="_Toc601465547"/>
      <w:bookmarkStart w:id="101" w:name="_Toc28031"/>
      <w:bookmarkStart w:id="102" w:name="_Toc1215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大力发展文化事业和文化产业</w:t>
      </w:r>
      <w:bookmarkEnd w:id="100"/>
      <w:bookmarkEnd w:id="101"/>
      <w:bookmarkEnd w:id="102"/>
    </w:p>
    <w:p w14:paraId="2382D8A8">
      <w:pPr>
        <w:shd w:val="clear"/>
        <w:spacing w:line="240" w:lineRule="auto"/>
        <w:ind w:firstLine="632" w:firstLineChars="200"/>
        <w:rPr>
          <w:rFonts w:hint="default" w:ascii="Times New Roman" w:hAnsi="Times New Roman" w:eastAsia="仿宋_GB2312" w:cs="Times New Roman"/>
          <w:bCs/>
          <w:i w:val="0"/>
          <w:iCs w:val="0"/>
          <w:caps w:val="0"/>
          <w:color w:val="auto"/>
          <w:spacing w:val="0"/>
          <w:kern w:val="2"/>
          <w:sz w:val="32"/>
          <w:szCs w:val="32"/>
          <w:highlight w:val="none"/>
          <w:u w:val="none" w:color="auto"/>
          <w:shd w:val="clear"/>
          <w:lang w:val="en-US" w:eastAsia="zh-CN" w:bidi="ar-SA"/>
        </w:rPr>
      </w:pPr>
      <w:r>
        <w:rPr>
          <w:rFonts w:hint="default" w:ascii="Times New Roman" w:hAnsi="Times New Roman" w:eastAsia="仿宋_GB2312" w:cs="Times New Roman"/>
          <w:bCs/>
          <w:i w:val="0"/>
          <w:iCs w:val="0"/>
          <w:caps w:val="0"/>
          <w:color w:val="auto"/>
          <w:spacing w:val="0"/>
          <w:sz w:val="32"/>
          <w:szCs w:val="32"/>
          <w:highlight w:val="none"/>
          <w:u w:val="none" w:color="auto"/>
          <w:shd w:val="clear"/>
        </w:rPr>
        <w:t>坚持保护优先与活化利用并重，传承优秀传统文化</w:t>
      </w:r>
      <w:r>
        <w:rPr>
          <w:rFonts w:hint="default" w:ascii="Times New Roman" w:hAnsi="Times New Roman" w:cs="Times New Roman"/>
          <w:bCs/>
          <w:i w:val="0"/>
          <w:iCs w:val="0"/>
          <w:caps w:val="0"/>
          <w:color w:val="auto"/>
          <w:spacing w:val="0"/>
          <w:sz w:val="32"/>
          <w:szCs w:val="32"/>
          <w:highlight w:val="none"/>
          <w:u w:val="none" w:color="auto"/>
          <w:shd w:val="clear"/>
          <w:lang w:eastAsia="zh-CN"/>
        </w:rPr>
        <w:t>，</w:t>
      </w:r>
      <w:r>
        <w:rPr>
          <w:rFonts w:hint="default" w:ascii="Times New Roman" w:hAnsi="Times New Roman" w:eastAsia="仿宋_GB2312" w:cs="Times New Roman"/>
          <w:bCs/>
          <w:i w:val="0"/>
          <w:iCs w:val="0"/>
          <w:caps w:val="0"/>
          <w:color w:val="auto"/>
          <w:spacing w:val="0"/>
          <w:sz w:val="32"/>
          <w:szCs w:val="32"/>
          <w:highlight w:val="none"/>
          <w:u w:val="none" w:color="auto"/>
          <w:shd w:val="clear"/>
        </w:rPr>
        <w:t>激发产业创新活力，深化文旅融合与“文化</w:t>
      </w:r>
      <w:r>
        <w:rPr>
          <w:rFonts w:hint="default" w:ascii="Times New Roman" w:hAnsi="Times New Roman" w:cs="Times New Roman"/>
          <w:bCs/>
          <w:i w:val="0"/>
          <w:iCs w:val="0"/>
          <w:caps w:val="0"/>
          <w:color w:val="auto"/>
          <w:spacing w:val="0"/>
          <w:sz w:val="32"/>
          <w:szCs w:val="32"/>
          <w:highlight w:val="none"/>
          <w:u w:val="none" w:color="auto"/>
          <w:shd w:val="clear"/>
          <w:lang w:eastAsia="zh-CN"/>
        </w:rPr>
        <w:t>＋</w:t>
      </w:r>
      <w:r>
        <w:rPr>
          <w:rFonts w:hint="default" w:ascii="Times New Roman" w:hAnsi="Times New Roman" w:eastAsia="仿宋_GB2312" w:cs="Times New Roman"/>
          <w:bCs/>
          <w:i w:val="0"/>
          <w:iCs w:val="0"/>
          <w:caps w:val="0"/>
          <w:color w:val="auto"/>
          <w:spacing w:val="0"/>
          <w:sz w:val="32"/>
          <w:szCs w:val="32"/>
          <w:highlight w:val="none"/>
          <w:u w:val="none" w:color="auto"/>
          <w:shd w:val="clear"/>
        </w:rPr>
        <w:t>”发展，统筹推进文化资源保护、文化产业升级与公共文化服务提升，着力打造具有鲜明地域特色和核心竞争力的文化强区。</w:t>
      </w:r>
    </w:p>
    <w:p w14:paraId="6D6366EC">
      <w:pPr>
        <w:shd w:val="clear"/>
        <w:spacing w:line="240" w:lineRule="auto"/>
        <w:ind w:firstLine="632" w:firstLineChars="200"/>
        <w:rPr>
          <w:rFonts w:hint="default" w:ascii="Times New Roman" w:hAnsi="Times New Roman"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传承弘扬优秀传统文化。</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深入开展</w:t>
      </w:r>
      <w:r>
        <w:rPr>
          <w:rFonts w:hint="default" w:ascii="Times New Roman" w:hAnsi="Times New Roman" w:eastAsia="仿宋_GB2312" w:cs="Times New Roman"/>
          <w:bCs/>
          <w:color w:val="auto"/>
          <w:spacing w:val="0"/>
          <w:sz w:val="32"/>
          <w:szCs w:val="32"/>
          <w:highlight w:val="none"/>
          <w:u w:val="none" w:color="auto"/>
        </w:rPr>
        <w:t>汉源文化、商圣文化</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研究与传承，系统梳理文化历史渊源、文化内涵与民俗风情，打响区域文化品牌。系统推进定陶王墓地（王陵）的考古勘探、学术研究、出土文物保护、管理提升、展示利用工作。完成定陶王墓地（王陵）核心区环境整治工程、安防工程和消防工程，拓宽城区到定陶王陵的道路。推进定陶王墓地（王陵）考古遗址公园建设，建成以定陶王陵为核心的</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集科研教育、生态涵养、休闲娱乐功能于一体的大型人文地标</w:t>
      </w:r>
      <w:r>
        <w:rPr>
          <w:rFonts w:hint="default" w:ascii="Times New Roman" w:hAnsi="Times New Roman" w:eastAsia="仿宋_GB2312" w:cs="Times New Roman"/>
          <w:bCs/>
          <w:color w:val="auto"/>
          <w:spacing w:val="0"/>
          <w:sz w:val="32"/>
          <w:szCs w:val="32"/>
          <w:highlight w:val="none"/>
          <w:u w:val="none" w:color="auto"/>
        </w:rPr>
        <w:t>。推动戚姬寺遗址（二期）、牛氏祠堂保护修缮，实施定陶十里铺北堌堆遗址环境整治工程</w:t>
      </w:r>
      <w:r>
        <w:rPr>
          <w:rFonts w:hint="eastAsia" w:ascii="Times New Roman" w:hAnsi="Times New Roman" w:cs="Times New Roman"/>
          <w:bCs/>
          <w:color w:val="auto"/>
          <w:spacing w:val="0"/>
          <w:sz w:val="32"/>
          <w:szCs w:val="32"/>
          <w:highlight w:val="none"/>
          <w:u w:val="none" w:color="auto"/>
          <w:shd w:val="clear"/>
          <w:lang w:eastAsia="zh-CN"/>
        </w:rPr>
        <w:t>、</w:t>
      </w:r>
      <w:r>
        <w:rPr>
          <w:rFonts w:hint="default" w:ascii="Times New Roman" w:hAnsi="Times New Roman" w:cs="Times New Roman"/>
          <w:bCs/>
          <w:color w:val="auto"/>
          <w:spacing w:val="0"/>
          <w:kern w:val="2"/>
          <w:sz w:val="32"/>
          <w:szCs w:val="32"/>
          <w:highlight w:val="none"/>
          <w:u w:val="none" w:color="auto"/>
          <w:lang w:val="en-US" w:eastAsia="zh-CN" w:bidi="ar-SA"/>
        </w:rPr>
        <w:t>定陶烈士陵园改扩建工程。</w:t>
      </w:r>
    </w:p>
    <w:p w14:paraId="5C7388D6">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激发文化产业发展活力。</w:t>
      </w:r>
      <w:r>
        <w:rPr>
          <w:rFonts w:hint="default" w:ascii="Times New Roman" w:hAnsi="Times New Roman" w:eastAsia="仿宋_GB2312" w:cs="Times New Roman"/>
          <w:bCs/>
          <w:color w:val="auto"/>
          <w:spacing w:val="0"/>
          <w:sz w:val="32"/>
          <w:szCs w:val="32"/>
          <w:highlight w:val="none"/>
          <w:u w:val="none" w:color="auto"/>
          <w:lang w:val="en-US" w:eastAsia="zh-CN"/>
        </w:rPr>
        <w:t>加快推动</w:t>
      </w:r>
      <w:r>
        <w:rPr>
          <w:rFonts w:hint="default" w:ascii="Times New Roman" w:hAnsi="Times New Roman" w:eastAsia="仿宋_GB2312" w:cs="Times New Roman"/>
          <w:bCs/>
          <w:color w:val="auto"/>
          <w:spacing w:val="0"/>
          <w:sz w:val="32"/>
          <w:szCs w:val="32"/>
          <w:highlight w:val="none"/>
          <w:u w:val="none" w:color="auto"/>
        </w:rPr>
        <w:t>文化旅游融合发展</w:t>
      </w:r>
      <w:r>
        <w:rPr>
          <w:rFonts w:hint="default" w:ascii="Times New Roman" w:hAnsi="Times New Roman" w:eastAsia="仿宋_GB2312" w:cs="Times New Roman"/>
          <w:bCs/>
          <w:color w:val="auto"/>
          <w:spacing w:val="0"/>
          <w:sz w:val="32"/>
          <w:szCs w:val="32"/>
          <w:highlight w:val="none"/>
          <w:u w:val="none" w:color="auto"/>
          <w:lang w:eastAsia="zh-CN"/>
        </w:rPr>
        <w:t>，</w:t>
      </w:r>
      <w:r>
        <w:rPr>
          <w:rFonts w:hint="default" w:ascii="Times New Roman" w:hAnsi="Times New Roman" w:eastAsia="仿宋_GB2312" w:cs="Times New Roman"/>
          <w:bCs/>
          <w:color w:val="auto"/>
          <w:spacing w:val="0"/>
          <w:sz w:val="32"/>
          <w:szCs w:val="32"/>
          <w:highlight w:val="none"/>
          <w:u w:val="none" w:color="auto"/>
          <w:lang w:val="en-US" w:eastAsia="zh-CN"/>
        </w:rPr>
        <w:t>完善文化</w:t>
      </w:r>
      <w:r>
        <w:rPr>
          <w:rFonts w:hint="default" w:ascii="Times New Roman" w:hAnsi="Times New Roman" w:eastAsia="仿宋_GB2312" w:cs="Times New Roman"/>
          <w:bCs/>
          <w:color w:val="auto"/>
          <w:spacing w:val="0"/>
          <w:sz w:val="32"/>
          <w:szCs w:val="32"/>
          <w:highlight w:val="none"/>
          <w:u w:val="none" w:color="auto"/>
        </w:rPr>
        <w:t>产业体系，打造文化旅游强区。依托《定陶战役》《陶丘情》</w:t>
      </w:r>
      <w:r>
        <w:rPr>
          <w:rFonts w:hint="default" w:ascii="Times New Roman" w:hAnsi="Times New Roman" w:eastAsia="仿宋_GB2312" w:cs="Times New Roman"/>
          <w:bCs/>
          <w:color w:val="auto"/>
          <w:spacing w:val="0"/>
          <w:sz w:val="32"/>
          <w:szCs w:val="32"/>
          <w:highlight w:val="none"/>
          <w:u w:val="none" w:color="auto"/>
          <w:lang w:val="en-US" w:eastAsia="zh-CN"/>
        </w:rPr>
        <w:t>等，</w:t>
      </w:r>
      <w:r>
        <w:rPr>
          <w:rFonts w:hint="default" w:ascii="Times New Roman" w:hAnsi="Times New Roman" w:eastAsia="仿宋_GB2312" w:cs="Times New Roman"/>
          <w:bCs/>
          <w:color w:val="auto"/>
          <w:spacing w:val="0"/>
          <w:sz w:val="32"/>
          <w:szCs w:val="32"/>
          <w:highlight w:val="none"/>
          <w:u w:val="none" w:color="auto"/>
        </w:rPr>
        <w:t>推动文艺作品与传统文化、红色文化等旅游资源交融交汇，带动定陶文化市场“出圈”。</w:t>
      </w:r>
      <w:r>
        <w:rPr>
          <w:rFonts w:hint="default" w:ascii="Times New Roman" w:hAnsi="Times New Roman" w:cs="Times New Roman"/>
          <w:bCs/>
          <w:color w:val="auto"/>
          <w:spacing w:val="0"/>
          <w:sz w:val="32"/>
          <w:szCs w:val="32"/>
          <w:highlight w:val="none"/>
          <w:u w:val="none" w:color="auto"/>
          <w:lang w:val="en-US" w:eastAsia="zh-CN"/>
        </w:rPr>
        <w:t>加快推动</w:t>
      </w:r>
      <w:r>
        <w:rPr>
          <w:rFonts w:hint="default" w:ascii="Times New Roman" w:hAnsi="Times New Roman" w:eastAsia="仿宋_GB2312" w:cs="Times New Roman"/>
          <w:bCs/>
          <w:color w:val="auto"/>
          <w:spacing w:val="0"/>
          <w:sz w:val="32"/>
          <w:szCs w:val="32"/>
          <w:highlight w:val="none"/>
          <w:u w:val="none" w:color="auto"/>
        </w:rPr>
        <w:t>动植物园观赏基地提升</w:t>
      </w:r>
      <w:r>
        <w:rPr>
          <w:rFonts w:hint="default" w:ascii="Times New Roman" w:hAnsi="Times New Roman" w:cs="Times New Roman"/>
          <w:bCs/>
          <w:color w:val="auto"/>
          <w:spacing w:val="0"/>
          <w:sz w:val="32"/>
          <w:szCs w:val="32"/>
          <w:highlight w:val="none"/>
          <w:u w:val="none" w:color="auto"/>
          <w:lang w:val="en-US" w:eastAsia="zh-CN"/>
        </w:rPr>
        <w:t>工程</w:t>
      </w:r>
      <w:r>
        <w:rPr>
          <w:rFonts w:hint="default" w:ascii="Times New Roman" w:hAnsi="Times New Roman" w:cs="Times New Roman"/>
          <w:bCs/>
          <w:color w:val="auto"/>
          <w:spacing w:val="0"/>
          <w:sz w:val="32"/>
          <w:szCs w:val="32"/>
          <w:highlight w:val="none"/>
          <w:u w:val="none" w:color="auto"/>
          <w:lang w:eastAsia="zh-CN"/>
        </w:rPr>
        <w:t>，</w:t>
      </w:r>
      <w:r>
        <w:rPr>
          <w:rFonts w:hint="default" w:ascii="Times New Roman" w:hAnsi="Times New Roman" w:eastAsia="仿宋_GB2312" w:cs="Times New Roman"/>
          <w:bCs/>
          <w:color w:val="auto"/>
          <w:spacing w:val="0"/>
          <w:sz w:val="32"/>
          <w:szCs w:val="32"/>
          <w:highlight w:val="none"/>
          <w:u w:val="none" w:color="auto"/>
        </w:rPr>
        <w:t>加快实施定陶博物馆文物数字化项目和“鲁西南记忆”数字文化场景应用项目，实现优质文化资源互联互通</w:t>
      </w:r>
      <w:r>
        <w:rPr>
          <w:rFonts w:hint="eastAsia" w:ascii="Times New Roman" w:hAnsi="Times New Roman" w:cs="Times New Roman"/>
          <w:bCs/>
          <w:color w:val="auto"/>
          <w:spacing w:val="0"/>
          <w:sz w:val="32"/>
          <w:szCs w:val="32"/>
          <w:highlight w:val="none"/>
          <w:u w:val="none" w:color="auto"/>
          <w:lang w:eastAsia="zh-CN"/>
        </w:rPr>
        <w:t>、</w:t>
      </w:r>
      <w:r>
        <w:rPr>
          <w:rFonts w:hint="default" w:ascii="Times New Roman" w:hAnsi="Times New Roman" w:eastAsia="仿宋_GB2312" w:cs="Times New Roman"/>
          <w:bCs/>
          <w:color w:val="auto"/>
          <w:spacing w:val="0"/>
          <w:sz w:val="32"/>
          <w:szCs w:val="32"/>
          <w:highlight w:val="none"/>
          <w:u w:val="none" w:color="auto"/>
        </w:rPr>
        <w:t>共建共享。深化非遗保护传承，持续开展非遗进校园活动，依托南王店西瓜、稻香村糕点、</w:t>
      </w:r>
      <w:r>
        <w:rPr>
          <w:rFonts w:hint="eastAsia" w:ascii="Times New Roman" w:hAnsi="Times New Roman" w:cs="Times New Roman"/>
          <w:color w:val="auto"/>
          <w:spacing w:val="5"/>
          <w:kern w:val="2"/>
          <w:sz w:val="32"/>
          <w:szCs w:val="32"/>
          <w:highlight w:val="none"/>
          <w:u w:val="none" w:color="auto"/>
          <w:lang w:val="en-US" w:eastAsia="zh-CN" w:bidi="ar-SA"/>
        </w:rPr>
        <w:t>黄店</w:t>
      </w:r>
      <w:r>
        <w:rPr>
          <w:rFonts w:hint="default" w:ascii="Times New Roman" w:hAnsi="Times New Roman" w:eastAsia="仿宋_GB2312" w:cs="Times New Roman"/>
          <w:bCs/>
          <w:color w:val="auto"/>
          <w:spacing w:val="0"/>
          <w:sz w:val="32"/>
          <w:szCs w:val="32"/>
          <w:highlight w:val="none"/>
          <w:u w:val="none" w:color="auto"/>
        </w:rPr>
        <w:t>玫瑰、曹州堆绣、定陶皮影等特色资源，利用非遗工坊、山东手造等场所，打造具有定陶元素的集设计研发、生产销售于一体的文创产品产业链。</w:t>
      </w:r>
    </w:p>
    <w:p w14:paraId="63DD5E11">
      <w:pPr>
        <w:shd w:val="clear"/>
        <w:spacing w:line="240" w:lineRule="auto"/>
        <w:ind w:firstLine="632" w:firstLineChars="200"/>
        <w:rPr>
          <w:rFonts w:hint="default" w:ascii="Times New Roman" w:hAnsi="Times New Roman" w:cs="Times New Roman"/>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推动</w:t>
      </w:r>
      <w:r>
        <w:rPr>
          <w:rFonts w:hint="default" w:ascii="Times New Roman" w:hAnsi="Times New Roman" w:cs="Times New Roman"/>
          <w:b/>
          <w:bCs w:val="0"/>
          <w:color w:val="auto"/>
          <w:spacing w:val="0"/>
          <w:kern w:val="2"/>
          <w:sz w:val="32"/>
          <w:szCs w:val="32"/>
          <w:highlight w:val="none"/>
          <w:u w:val="none" w:color="auto"/>
          <w:lang w:val="en-US" w:eastAsia="zh-CN" w:bidi="ar-SA"/>
        </w:rPr>
        <w:t>“文化＋”</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融合</w:t>
      </w:r>
      <w:r>
        <w:rPr>
          <w:rFonts w:hint="default" w:ascii="Times New Roman" w:hAnsi="Times New Roman" w:cs="Times New Roman"/>
          <w:b/>
          <w:bCs w:val="0"/>
          <w:color w:val="auto"/>
          <w:spacing w:val="0"/>
          <w:kern w:val="2"/>
          <w:sz w:val="32"/>
          <w:szCs w:val="32"/>
          <w:highlight w:val="none"/>
          <w:u w:val="none" w:color="auto"/>
          <w:lang w:val="en-US" w:eastAsia="zh-CN" w:bidi="ar-SA"/>
        </w:rPr>
        <w:t>发展</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加快文化与科技深度融合，推进非遗、民俗与科普相结合，打造科普项目新模式。</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推动历史文化资源与旅游产业协同发展，培育引进一批具有市场竞争力的文旅企业和运营主体。持续举办仿</w:t>
      </w:r>
      <w:r>
        <w:rPr>
          <w:rFonts w:hint="default" w:ascii="Times New Roman" w:hAnsi="Times New Roman" w:cs="Times New Roman"/>
          <w:color w:val="auto"/>
          <w:highlight w:val="none"/>
          <w:lang w:val="en-US" w:eastAsia="zh-CN"/>
        </w:rPr>
        <w:t>山山</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会、南王店西瓜节、</w:t>
      </w:r>
      <w:r>
        <w:rPr>
          <w:rFonts w:hint="eastAsia" w:ascii="Times New Roman" w:hAnsi="Times New Roman" w:cs="Times New Roman"/>
          <w:bCs/>
          <w:color w:val="auto"/>
          <w:spacing w:val="0"/>
          <w:kern w:val="2"/>
          <w:sz w:val="32"/>
          <w:szCs w:val="32"/>
          <w:highlight w:val="none"/>
          <w:u w:val="none" w:color="auto"/>
          <w:lang w:val="en-US" w:eastAsia="zh-CN" w:bidi="ar-SA"/>
        </w:rPr>
        <w:t>黄店</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玫瑰风情节等本土特色节会，开展非遗展示、文化演艺等活动。打造全域水文旅空间，联通、拓宽、改造城区主要河道，修建沿河景观步道，规划建设汉文化、儒家文化等主题博物馆，推动“水网</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”文旅项目、生态项目落地</w:t>
      </w:r>
      <w:r>
        <w:rPr>
          <w:rFonts w:hint="default" w:ascii="Times New Roman" w:hAnsi="Times New Roman" w:cs="Times New Roman"/>
          <w:bCs/>
          <w:color w:val="auto"/>
          <w:spacing w:val="0"/>
          <w:kern w:val="2"/>
          <w:sz w:val="32"/>
          <w:szCs w:val="32"/>
          <w:highlight w:val="none"/>
          <w:u w:val="none" w:color="auto"/>
          <w:lang w:val="en-US" w:eastAsia="zh-CN" w:bidi="ar-SA"/>
        </w:rPr>
        <w:t>。</w:t>
      </w:r>
    </w:p>
    <w:p w14:paraId="1E020D8F">
      <w:pPr>
        <w:shd w:val="clear"/>
        <w:spacing w:line="240" w:lineRule="auto"/>
        <w:jc w:val="center"/>
        <w:rPr>
          <w:rFonts w:hint="eastAsia" w:ascii="黑体" w:hAnsi="黑体" w:eastAsia="黑体" w:cs="黑体"/>
          <w:bCs/>
          <w:color w:val="auto"/>
          <w:spacing w:val="0"/>
          <w:kern w:val="2"/>
          <w:sz w:val="28"/>
          <w:szCs w:val="28"/>
          <w:highlight w:val="none"/>
          <w:u w:val="none" w:color="auto"/>
          <w:lang w:val="en-US" w:eastAsia="zh-CN" w:bidi="ar-SA"/>
        </w:rPr>
      </w:pPr>
      <w:r>
        <w:rPr>
          <w:rFonts w:hint="eastAsia" w:ascii="黑体" w:hAnsi="黑体" w:eastAsia="黑体" w:cs="黑体"/>
          <w:bCs/>
          <w:color w:val="auto"/>
          <w:spacing w:val="0"/>
          <w:kern w:val="2"/>
          <w:sz w:val="28"/>
          <w:szCs w:val="28"/>
          <w:highlight w:val="none"/>
          <w:u w:val="none" w:color="auto"/>
          <w:lang w:val="en-US" w:eastAsia="zh-CN" w:bidi="ar-SA"/>
        </w:rPr>
        <w:t>专栏11 文化遗产保护提升工程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35F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5396CBD">
            <w:pPr>
              <w:shd w:val="clear"/>
              <w:spacing w:line="240" w:lineRule="auto"/>
              <w:ind w:firstLine="552" w:firstLineChars="200"/>
              <w:rPr>
                <w:rFonts w:hint="default" w:ascii="Times New Roman" w:hAnsi="Times New Roman" w:cs="Times New Roman"/>
                <w:bCs/>
                <w:color w:val="auto"/>
                <w:spacing w:val="0"/>
                <w:kern w:val="2"/>
                <w:sz w:val="32"/>
                <w:szCs w:val="32"/>
                <w:highlight w:val="none"/>
                <w:u w:val="none" w:color="auto"/>
                <w:vertAlign w:val="baseline"/>
                <w:lang w:val="en-US" w:eastAsia="zh-CN" w:bidi="ar-SA"/>
              </w:rPr>
            </w:pPr>
            <w:r>
              <w:rPr>
                <w:rFonts w:hint="eastAsia" w:ascii="仿宋_GB2312" w:hAnsi="仿宋_GB2312" w:eastAsia="仿宋_GB2312" w:cs="仿宋_GB2312"/>
                <w:bCs/>
                <w:color w:val="auto"/>
                <w:spacing w:val="0"/>
                <w:kern w:val="2"/>
                <w:sz w:val="28"/>
                <w:szCs w:val="28"/>
                <w:highlight w:val="none"/>
                <w:u w:val="none" w:color="auto"/>
                <w:lang w:val="en-US" w:eastAsia="zh-CN" w:bidi="ar-SA"/>
              </w:rPr>
              <w:t>定陶王墓地(王陵)保护利用项目</w:t>
            </w:r>
          </w:p>
        </w:tc>
      </w:tr>
    </w:tbl>
    <w:p w14:paraId="6851E581">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03" w:name="_Toc31367"/>
      <w:bookmarkStart w:id="104" w:name="_Toc1661050878"/>
      <w:bookmarkStart w:id="105" w:name="_Toc15717"/>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优化公共文化服务供给</w:t>
      </w:r>
      <w:bookmarkEnd w:id="103"/>
      <w:bookmarkEnd w:id="104"/>
      <w:bookmarkEnd w:id="105"/>
    </w:p>
    <w:p w14:paraId="3FC8D67E">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Cs/>
          <w:color w:val="auto"/>
          <w:spacing w:val="0"/>
          <w:kern w:val="2"/>
          <w:sz w:val="32"/>
          <w:szCs w:val="32"/>
          <w:highlight w:val="none"/>
          <w:u w:val="none" w:color="auto"/>
          <w:lang w:val="en-US" w:eastAsia="zh-CN" w:bidi="ar-SA"/>
        </w:rPr>
        <w:t>围绕满足人民群众精神文化新期待，深入实施文化惠民工程，强化精品创作与精准供给，推动志愿服务制度化、</w:t>
      </w:r>
      <w:r>
        <w:rPr>
          <w:rFonts w:hint="default" w:ascii="Times New Roman" w:hAnsi="Times New Roman" w:cs="Times New Roman"/>
          <w:color w:val="auto"/>
          <w:highlight w:val="none"/>
          <w:lang w:val="en-US" w:eastAsia="zh-CN"/>
        </w:rPr>
        <w:t>品牌</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化发展，加快构建覆盖城乡、便捷高效的现代公共文化服务体系</w:t>
      </w:r>
      <w:r>
        <w:rPr>
          <w:rFonts w:hint="default" w:ascii="Times New Roman" w:hAnsi="Times New Roman" w:cs="Times New Roman"/>
          <w:bCs/>
          <w:color w:val="auto"/>
          <w:spacing w:val="0"/>
          <w:kern w:val="2"/>
          <w:sz w:val="32"/>
          <w:szCs w:val="32"/>
          <w:highlight w:val="none"/>
          <w:u w:val="none" w:color="auto"/>
          <w:lang w:val="en-US" w:eastAsia="zh-CN" w:bidi="ar-SA"/>
        </w:rPr>
        <w:t>。</w:t>
      </w:r>
    </w:p>
    <w:p w14:paraId="1C1EED68">
      <w:pPr>
        <w:shd w:val="clear"/>
        <w:spacing w:line="240" w:lineRule="auto"/>
        <w:ind w:firstLine="632" w:firstLineChars="200"/>
        <w:rPr>
          <w:rFonts w:hint="default" w:ascii="Times New Roman" w:hAnsi="Times New Roman" w:eastAsia="仿宋_GB2312" w:cs="Times New Roman"/>
          <w:bCs/>
          <w:color w:val="auto"/>
          <w:spacing w:val="0"/>
          <w:sz w:val="32"/>
          <w:szCs w:val="32"/>
          <w:highlight w:val="none"/>
          <w:u w:val="none" w:color="auto"/>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提升公共文化服务能力。</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进公共文化服务标准化、均等化，不断完善区、街道、社区三级公共文化服务设施网络，优化城乡公共文化服务网络。积极推广全民阅读，构建全民阅读共享网络，扩大“书香定陶”阅读品牌影响力。实施文艺精品创作工程，</w:t>
      </w:r>
      <w:r>
        <w:rPr>
          <w:rFonts w:hint="default" w:ascii="Times New Roman" w:hAnsi="Times New Roman" w:eastAsia="仿宋_GB2312" w:cs="Times New Roman"/>
          <w:bCs/>
          <w:color w:val="auto"/>
          <w:spacing w:val="0"/>
          <w:sz w:val="32"/>
          <w:szCs w:val="32"/>
          <w:highlight w:val="none"/>
          <w:u w:val="none" w:color="auto"/>
        </w:rPr>
        <w:t>推进戏曲《李二嫂</w:t>
      </w:r>
      <w:r>
        <w:rPr>
          <w:rFonts w:hint="default" w:ascii="Times New Roman" w:hAnsi="Times New Roman" w:cs="Times New Roman"/>
          <w:bCs/>
          <w:color w:val="auto"/>
          <w:spacing w:val="0"/>
          <w:sz w:val="32"/>
          <w:szCs w:val="32"/>
          <w:highlight w:val="none"/>
          <w:u w:val="none" w:color="auto"/>
          <w:lang w:val="en-US" w:eastAsia="zh-CN"/>
        </w:rPr>
        <w:t>家</w:t>
      </w:r>
      <w:r>
        <w:rPr>
          <w:rFonts w:hint="default" w:ascii="Times New Roman" w:hAnsi="Times New Roman" w:eastAsia="仿宋_GB2312" w:cs="Times New Roman"/>
          <w:bCs/>
          <w:color w:val="auto"/>
          <w:spacing w:val="0"/>
          <w:sz w:val="32"/>
          <w:szCs w:val="32"/>
          <w:highlight w:val="none"/>
          <w:u w:val="none" w:color="auto"/>
        </w:rPr>
        <w:t>的新婚事》《西厢记》、微短剧《商圣传奇》、纪录片《定陶汉墓》等一批精品力作搬上舞台，</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推出更多增强人民精神力量的优秀文艺作品。</w:t>
      </w:r>
      <w:r>
        <w:rPr>
          <w:rFonts w:hint="default" w:ascii="Times New Roman" w:hAnsi="Times New Roman" w:eastAsia="仿宋_GB2312" w:cs="Times New Roman"/>
          <w:bCs/>
          <w:color w:val="auto"/>
          <w:spacing w:val="0"/>
          <w:sz w:val="32"/>
          <w:szCs w:val="32"/>
          <w:highlight w:val="none"/>
          <w:u w:val="none" w:color="auto"/>
        </w:rPr>
        <w:t>加强基层文艺骨干培训，夯实基层文化队伍建设。常态化举办“文化进万家”“我们的节日”系列文化活动，推动优秀小戏小剧进基层、进校园巡演，</w:t>
      </w:r>
      <w:r>
        <w:rPr>
          <w:rFonts w:hint="default" w:ascii="Times New Roman" w:hAnsi="Times New Roman" w:eastAsia="仿宋_GB2312" w:cs="Times New Roman"/>
          <w:bCs/>
          <w:color w:val="auto"/>
          <w:spacing w:val="0"/>
          <w:sz w:val="32"/>
          <w:szCs w:val="32"/>
          <w:highlight w:val="none"/>
          <w:u w:val="none" w:color="auto"/>
          <w:lang w:eastAsia="zh-CN"/>
        </w:rPr>
        <w:t>加大</w:t>
      </w:r>
      <w:r>
        <w:rPr>
          <w:rFonts w:hint="default" w:ascii="Times New Roman" w:hAnsi="Times New Roman" w:eastAsia="仿宋_GB2312" w:cs="Times New Roman"/>
          <w:bCs/>
          <w:color w:val="auto"/>
          <w:spacing w:val="0"/>
          <w:sz w:val="32"/>
          <w:szCs w:val="32"/>
          <w:highlight w:val="none"/>
          <w:u w:val="none" w:color="auto"/>
        </w:rPr>
        <w:t>文艺精品传播力度。</w:t>
      </w:r>
    </w:p>
    <w:p w14:paraId="675FD6BE">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健全志愿服务制度</w:t>
      </w:r>
      <w:r>
        <w:rPr>
          <w:rFonts w:hint="default" w:ascii="Times New Roman" w:hAnsi="Times New Roman" w:cs="Times New Roman"/>
          <w:b/>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成立区志愿服务联合会，持续擦亮“定”约有你、“邻聚力”四电服务、“戏韵新风”等志愿服务</w:t>
      </w:r>
      <w:r>
        <w:rPr>
          <w:rFonts w:hint="default" w:ascii="Times New Roman" w:hAnsi="Times New Roman" w:cs="Times New Roman"/>
          <w:color w:val="auto"/>
          <w:highlight w:val="none"/>
          <w:lang w:val="en-US" w:eastAsia="zh-CN"/>
        </w:rPr>
        <w:t>品牌</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，推动志愿服务常态化、精准化、品牌化发展。</w:t>
      </w:r>
      <w:r>
        <w:rPr>
          <w:rFonts w:hint="default" w:ascii="Times New Roman" w:hAnsi="Times New Roman" w:eastAsia="仿宋_GB2312" w:cs="Times New Roman"/>
          <w:bCs/>
          <w:color w:val="auto"/>
          <w:spacing w:val="0"/>
          <w:sz w:val="32"/>
          <w:szCs w:val="32"/>
          <w:highlight w:val="none"/>
          <w:u w:val="none" w:color="auto"/>
        </w:rPr>
        <w:t>推动文明创建从“单点突破”向“全域文明”跃升，从“文明城市”向“城市文明”转型，从“阶段性创建”转向“常态化治理”，构建“人城共生、文化赋能”的现代化城市文明新业态。推进新时代文明实践中心（所、站）建设，打造精准对接群众需求、深度融入基层治理的文明实践服务新生态。</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推动家庭家教家风建设，推广居民公约、村规民约、职业规范、学生守则、家规家训等，倡导健康文明的生活方式。</w:t>
      </w:r>
    </w:p>
    <w:p w14:paraId="4F9A814D">
      <w:pPr>
        <w:spacing w:line="240" w:lineRule="auto"/>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106" w:name="_Toc4400"/>
      <w:bookmarkStart w:id="107" w:name="_Toc67143464"/>
      <w:bookmarkStart w:id="108" w:name="_Toc17496"/>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br w:type="page"/>
      </w:r>
    </w:p>
    <w:p w14:paraId="3BFB9476">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第十章 推动绿色低碳转型 建设美丽宜居家园</w:t>
      </w:r>
      <w:bookmarkEnd w:id="106"/>
      <w:bookmarkEnd w:id="107"/>
      <w:bookmarkEnd w:id="108"/>
    </w:p>
    <w:p w14:paraId="4990BA03">
      <w:pPr>
        <w:shd w:val="clear"/>
        <w:spacing w:line="240" w:lineRule="auto"/>
        <w:ind w:firstLine="632" w:firstLineChars="200"/>
        <w:rPr>
          <w:rFonts w:hint="default" w:ascii="Times New Roman" w:hAnsi="Times New Roman" w:eastAsia="仿宋_GB2312" w:cs="Times New Roman"/>
          <w:color w:val="auto"/>
          <w:sz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rPr>
        <w:t>牢固树立和践行绿水青山就是金山银山的理念，以碳达峰碳中和为牵引，协同推进降碳、减污、扩绿、增长，</w:t>
      </w:r>
      <w:r>
        <w:rPr>
          <w:rFonts w:hint="default" w:ascii="Times New Roman" w:hAnsi="Times New Roman" w:eastAsia="仿宋_GB2312" w:cs="Times New Roman"/>
          <w:color w:val="auto"/>
          <w:sz w:val="32"/>
          <w:highlight w:val="none"/>
          <w:u w:val="none" w:color="auto"/>
          <w:lang w:val="en-US" w:eastAsia="zh-CN"/>
        </w:rPr>
        <w:t>建立健全绿色低碳发展经济体系，</w:t>
      </w:r>
      <w:r>
        <w:rPr>
          <w:rFonts w:hint="default" w:ascii="Times New Roman" w:hAnsi="Times New Roman" w:eastAsia="仿宋_GB2312" w:cs="Times New Roman"/>
          <w:color w:val="auto"/>
          <w:sz w:val="32"/>
          <w:szCs w:val="32"/>
          <w:highlight w:val="none"/>
          <w:u w:val="none" w:color="auto"/>
        </w:rPr>
        <w:t>增强绿色发展动能。</w:t>
      </w:r>
    </w:p>
    <w:p w14:paraId="5C5DFF70">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09" w:name="_Toc825693516"/>
      <w:bookmarkStart w:id="110" w:name="_Toc20550"/>
      <w:bookmarkStart w:id="111" w:name="_Toc18070"/>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深入推进污染防治攻坚和生态系统优化</w:t>
      </w:r>
      <w:bookmarkEnd w:id="109"/>
    </w:p>
    <w:p w14:paraId="0CE2B941">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坚持精准治污、科学治污、依法治污，持续推进环境污染防治，持续深入打好蓝天、碧水、净土保卫战，加强新污染物治理，让天更蓝、水更清、生态更优美。</w:t>
      </w:r>
    </w:p>
    <w:p w14:paraId="43972203">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加强大气污染防治。</w:t>
      </w:r>
      <w:r>
        <w:rPr>
          <w:rFonts w:hint="default" w:ascii="Times New Roman" w:hAnsi="Times New Roman" w:eastAsia="仿宋_GB2312" w:cs="Times New Roman"/>
          <w:color w:val="auto"/>
          <w:spacing w:val="0"/>
          <w:sz w:val="32"/>
          <w:highlight w:val="none"/>
          <w:u w:val="none" w:color="auto"/>
          <w:lang w:val="en-US" w:eastAsia="zh-CN"/>
        </w:rPr>
        <w:t>强化多污染物协同控制和区域协作防治，推进细颗粒物和臭氧浓度“双控双减”，逐步减少重污染天气。实施</w:t>
      </w:r>
      <w:r>
        <w:rPr>
          <w:rFonts w:hint="default" w:ascii="Times New Roman" w:hAnsi="Times New Roman" w:cs="Times New Roman"/>
          <w:color w:val="auto"/>
          <w:spacing w:val="0"/>
          <w:sz w:val="32"/>
          <w:highlight w:val="none"/>
          <w:u w:val="none" w:color="auto"/>
          <w:lang w:val="en-US" w:eastAsia="zh-CN"/>
        </w:rPr>
        <w:t>挥发性有机物</w:t>
      </w:r>
      <w:r>
        <w:rPr>
          <w:rFonts w:hint="default" w:ascii="Times New Roman" w:hAnsi="Times New Roman" w:eastAsia="仿宋_GB2312" w:cs="Times New Roman"/>
          <w:color w:val="auto"/>
          <w:spacing w:val="0"/>
          <w:sz w:val="32"/>
          <w:highlight w:val="none"/>
          <w:u w:val="none" w:color="auto"/>
          <w:lang w:val="en-US" w:eastAsia="zh-CN"/>
        </w:rPr>
        <w:t>源头替代、过程控制、末端净化升级全流程治理，强化无组织排放管控，开展</w:t>
      </w:r>
      <w:r>
        <w:rPr>
          <w:rFonts w:hint="default" w:ascii="Times New Roman" w:hAnsi="Times New Roman" w:cs="Times New Roman"/>
          <w:color w:val="auto"/>
          <w:highlight w:val="none"/>
          <w:lang w:val="en-US" w:eastAsia="zh-CN"/>
        </w:rPr>
        <w:t>施工</w:t>
      </w:r>
      <w:r>
        <w:rPr>
          <w:rFonts w:hint="default" w:ascii="Times New Roman" w:hAnsi="Times New Roman" w:eastAsia="仿宋_GB2312" w:cs="Times New Roman"/>
          <w:color w:val="auto"/>
          <w:spacing w:val="0"/>
          <w:sz w:val="32"/>
          <w:highlight w:val="none"/>
          <w:u w:val="none" w:color="auto"/>
          <w:lang w:val="en-US" w:eastAsia="zh-CN"/>
        </w:rPr>
        <w:t>扬尘全过程监管，加强施工工地、工业企业料场堆场扬尘整治，减少扬尘来源。严格控制移动源污染，逐步淘汰排放不达标车辆。严格落实秸秆禁烧，加强散装物料</w:t>
      </w:r>
      <w:r>
        <w:rPr>
          <w:rFonts w:hint="default" w:ascii="Times New Roman" w:hAnsi="Times New Roman" w:cs="Times New Roman"/>
          <w:color w:val="auto"/>
          <w:spacing w:val="0"/>
          <w:sz w:val="32"/>
          <w:highlight w:val="none"/>
          <w:u w:val="none" w:color="auto"/>
          <w:lang w:val="en-US" w:eastAsia="zh-CN"/>
        </w:rPr>
        <w:t>、</w:t>
      </w:r>
      <w:r>
        <w:rPr>
          <w:rFonts w:hint="default" w:ascii="Times New Roman" w:hAnsi="Times New Roman" w:eastAsia="仿宋_GB2312" w:cs="Times New Roman"/>
          <w:color w:val="auto"/>
          <w:spacing w:val="0"/>
          <w:sz w:val="32"/>
          <w:highlight w:val="none"/>
          <w:u w:val="none" w:color="auto"/>
          <w:lang w:val="en-US" w:eastAsia="zh-CN"/>
        </w:rPr>
        <w:t>秸秆综合利用和氨排放控制，开展秸秆禁烧专项巡查。</w:t>
      </w:r>
    </w:p>
    <w:p w14:paraId="2C2210D3">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推进水体污染治理。</w:t>
      </w:r>
      <w:r>
        <w:rPr>
          <w:rFonts w:hint="default" w:ascii="Times New Roman" w:hAnsi="Times New Roman" w:eastAsia="仿宋_GB2312" w:cs="Times New Roman"/>
          <w:color w:val="auto"/>
          <w:spacing w:val="0"/>
          <w:sz w:val="32"/>
          <w:highlight w:val="none"/>
          <w:u w:val="none" w:color="auto"/>
          <w:lang w:val="en-US" w:eastAsia="zh-CN"/>
        </w:rPr>
        <w:t>加速城区污水分流，推进实施黑臭水体治理，保持城乡黑臭水体动态清零。探索河</w:t>
      </w:r>
      <w:r>
        <w:rPr>
          <w:rFonts w:hint="default" w:ascii="Times New Roman" w:hAnsi="Times New Roman" w:cs="Times New Roman"/>
          <w:color w:val="auto"/>
          <w:spacing w:val="0"/>
          <w:sz w:val="32"/>
          <w:highlight w:val="none"/>
          <w:u w:val="none" w:color="auto"/>
          <w:lang w:val="en-US" w:eastAsia="zh-CN"/>
        </w:rPr>
        <w:t>道</w:t>
      </w:r>
      <w:r>
        <w:rPr>
          <w:rFonts w:hint="default" w:ascii="Times New Roman" w:hAnsi="Times New Roman" w:eastAsia="仿宋_GB2312" w:cs="Times New Roman"/>
          <w:color w:val="auto"/>
          <w:spacing w:val="0"/>
          <w:sz w:val="32"/>
          <w:highlight w:val="none"/>
          <w:u w:val="none" w:color="auto"/>
          <w:lang w:val="en-US" w:eastAsia="zh-CN"/>
        </w:rPr>
        <w:t>物业化管理，制定物业化管理细则，实现河</w:t>
      </w:r>
      <w:r>
        <w:rPr>
          <w:rFonts w:hint="eastAsia" w:ascii="Times New Roman" w:hAnsi="Times New Roman" w:cs="Times New Roman"/>
          <w:color w:val="auto"/>
          <w:spacing w:val="0"/>
          <w:sz w:val="32"/>
          <w:highlight w:val="none"/>
          <w:u w:val="none" w:color="auto"/>
          <w:lang w:val="en-US" w:eastAsia="zh-CN"/>
        </w:rPr>
        <w:t>道</w:t>
      </w:r>
      <w:r>
        <w:rPr>
          <w:rFonts w:hint="default" w:ascii="Times New Roman" w:hAnsi="Times New Roman" w:eastAsia="仿宋_GB2312" w:cs="Times New Roman"/>
          <w:color w:val="auto"/>
          <w:spacing w:val="0"/>
          <w:sz w:val="32"/>
          <w:highlight w:val="none"/>
          <w:u w:val="none" w:color="auto"/>
          <w:lang w:val="en-US" w:eastAsia="zh-CN"/>
        </w:rPr>
        <w:t>保洁、绿化维护、设施巡查等市场化、专业化运作。坚持“一河一策”“一口一策”，加强入河排污口监督管理。加强饮用水水源保护，严格工业园区及涉水企业入河排污口水质监管，构建重点工业园区、重点区域排污口、重要断面预警溯源和水质监控体系，推动污水处理厂、工业企业达标排放。</w:t>
      </w:r>
    </w:p>
    <w:p w14:paraId="65D1430A">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严守土壤安全底线。</w:t>
      </w:r>
      <w:r>
        <w:rPr>
          <w:rFonts w:hint="default" w:ascii="Times New Roman" w:hAnsi="Times New Roman" w:eastAsia="仿宋_GB2312" w:cs="Times New Roman"/>
          <w:color w:val="auto"/>
          <w:spacing w:val="0"/>
          <w:sz w:val="32"/>
          <w:highlight w:val="none"/>
          <w:u w:val="none" w:color="auto"/>
          <w:lang w:val="en-US" w:eastAsia="zh-CN"/>
        </w:rPr>
        <w:t>强化源头预防，加强土壤重点监管单位环境管理，减少新增污染。以用途变更为住宅、公共管理与公共服务用地的地块为重点，开展土壤污染调查及报告评审，确保重点建设用地安全利用率100%。实施农用地分类管理，严格保护优先保护类耕地，加强受污染农用地周边重点污染源日常监管。开展农药技术创新、科学选药用药、包装废弃物收集处置和推广绿色防控等行动，推行绿色农资降量增效技术，实现测土配方施肥技术全覆盖。强化污染土壤治理修复，探索应用生态型治理修复技术。坚持“减量化、无害化、资源化”，推动生活垃圾分类提标提质。</w:t>
      </w:r>
    </w:p>
    <w:p w14:paraId="64D54596">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加强新污染物治理。</w:t>
      </w:r>
      <w:r>
        <w:rPr>
          <w:rFonts w:hint="eastAsia" w:ascii="Times New Roman" w:hAnsi="Times New Roman" w:cs="Times New Roman"/>
          <w:color w:val="auto"/>
          <w:spacing w:val="0"/>
          <w:sz w:val="32"/>
          <w:highlight w:val="none"/>
          <w:u w:val="none" w:color="auto"/>
          <w:lang w:val="en-US" w:eastAsia="zh-CN"/>
        </w:rPr>
        <w:t>开展</w:t>
      </w:r>
      <w:r>
        <w:rPr>
          <w:rFonts w:hint="default" w:ascii="Times New Roman" w:hAnsi="Times New Roman" w:eastAsia="仿宋_GB2312" w:cs="Times New Roman"/>
          <w:color w:val="auto"/>
          <w:spacing w:val="0"/>
          <w:sz w:val="32"/>
          <w:highlight w:val="none"/>
          <w:u w:val="none" w:color="auto"/>
          <w:lang w:val="en-US" w:eastAsia="zh-CN"/>
        </w:rPr>
        <w:t>新污染物调查，统筹推进持久性有机污染物、内分泌干扰物、抗生素等新污染物环境风险管理。强化新污染物废物的收集利用处置，将产生废药品、废农药的生产企业</w:t>
      </w:r>
      <w:r>
        <w:rPr>
          <w:rFonts w:hint="eastAsia" w:ascii="Times New Roman" w:hAnsi="Times New Roman" w:cs="Times New Roman"/>
          <w:color w:val="auto"/>
          <w:spacing w:val="0"/>
          <w:sz w:val="32"/>
          <w:highlight w:val="none"/>
          <w:u w:val="none" w:color="auto"/>
          <w:lang w:val="en-US" w:eastAsia="zh-CN"/>
        </w:rPr>
        <w:t>和</w:t>
      </w:r>
      <w:r>
        <w:rPr>
          <w:rFonts w:hint="default" w:ascii="Times New Roman" w:hAnsi="Times New Roman" w:eastAsia="仿宋_GB2312" w:cs="Times New Roman"/>
          <w:color w:val="auto"/>
          <w:spacing w:val="0"/>
          <w:sz w:val="32"/>
          <w:highlight w:val="none"/>
          <w:u w:val="none" w:color="auto"/>
          <w:lang w:val="en-US" w:eastAsia="zh-CN"/>
        </w:rPr>
        <w:t>抗生素生产企业等产废单位和危险废物经营单位纳入危险废物规范化环境管理评估范围。增强新</w:t>
      </w:r>
      <w:r>
        <w:rPr>
          <w:rFonts w:hint="default" w:ascii="Times New Roman" w:hAnsi="Times New Roman" w:cs="Times New Roman"/>
          <w:color w:val="auto"/>
          <w:highlight w:val="none"/>
          <w:lang w:val="en-US" w:eastAsia="zh-CN"/>
        </w:rPr>
        <w:t>污染物</w:t>
      </w:r>
      <w:r>
        <w:rPr>
          <w:rFonts w:hint="default" w:ascii="Times New Roman" w:hAnsi="Times New Roman" w:eastAsia="仿宋_GB2312" w:cs="Times New Roman"/>
          <w:color w:val="auto"/>
          <w:spacing w:val="0"/>
          <w:sz w:val="32"/>
          <w:highlight w:val="none"/>
          <w:u w:val="none" w:color="auto"/>
          <w:lang w:val="en-US" w:eastAsia="zh-CN"/>
        </w:rPr>
        <w:t>监测技术能力，提升新污染物治理水平。</w:t>
      </w:r>
    </w:p>
    <w:p w14:paraId="7FF33C5E">
      <w:pPr>
        <w:ind w:firstLine="632" w:firstLineChars="200"/>
        <w:rPr>
          <w:rFonts w:hint="default" w:ascii="Times New Roman" w:hAnsi="Times New Roman" w:eastAsia="仿宋_GB2312" w:cs="Times New Roman"/>
          <w:color w:val="auto"/>
          <w:kern w:val="0"/>
          <w:sz w:val="32"/>
          <w:highlight w:val="none"/>
          <w:u w:val="none" w:color="auto"/>
          <w:lang w:val="en-US" w:eastAsia="zh-CN"/>
        </w:rPr>
      </w:pPr>
      <w:r>
        <w:rPr>
          <w:rStyle w:val="18"/>
          <w:rFonts w:hint="default" w:ascii="Times New Roman" w:hAnsi="Times New Roman" w:eastAsia="仿宋_GB2312" w:cs="Times New Roman"/>
          <w:b/>
          <w:bCs/>
          <w:i w:val="0"/>
          <w:iCs w:val="0"/>
          <w:caps w:val="0"/>
          <w:color w:val="auto"/>
          <w:spacing w:val="0"/>
          <w:sz w:val="32"/>
          <w:szCs w:val="24"/>
          <w:highlight w:val="none"/>
          <w:u w:val="none" w:color="auto"/>
          <w:shd w:val="clear" w:fill="FFFFFF"/>
          <w:lang w:val="en-US" w:eastAsia="zh-CN"/>
        </w:rPr>
        <w:t>提升生态系统质量</w:t>
      </w:r>
      <w:r>
        <w:rPr>
          <w:rFonts w:hint="default" w:ascii="Times New Roman" w:hAnsi="Times New Roman" w:cs="Times New Roman"/>
          <w:b/>
          <w:bCs/>
          <w:i w:val="0"/>
          <w:iCs w:val="0"/>
          <w:caps w:val="0"/>
          <w:color w:val="auto"/>
          <w:spacing w:val="0"/>
          <w:sz w:val="32"/>
          <w:szCs w:val="24"/>
          <w:highlight w:val="none"/>
          <w:u w:val="none" w:color="auto"/>
          <w:shd w:val="clear"/>
          <w:lang w:val="en-US" w:eastAsia="zh-CN"/>
        </w:rPr>
        <w:t>。</w:t>
      </w:r>
      <w:r>
        <w:rPr>
          <w:rFonts w:hint="default" w:ascii="Times New Roman" w:hAnsi="Times New Roman" w:cs="Times New Roman"/>
          <w:b w:val="0"/>
          <w:bCs w:val="0"/>
          <w:i w:val="0"/>
          <w:iCs w:val="0"/>
          <w:caps w:val="0"/>
          <w:color w:val="auto"/>
          <w:spacing w:val="0"/>
          <w:sz w:val="32"/>
          <w:szCs w:val="24"/>
          <w:highlight w:val="none"/>
          <w:u w:val="none" w:color="auto"/>
          <w:shd w:val="clear"/>
          <w:lang w:val="en-US" w:eastAsia="zh-CN"/>
        </w:rPr>
        <w:t>坚</w:t>
      </w:r>
      <w:r>
        <w:rPr>
          <w:rFonts w:hint="default" w:ascii="Times New Roman" w:hAnsi="Times New Roman" w:eastAsia="仿宋_GB2312" w:cs="Times New Roman"/>
          <w:color w:val="auto"/>
          <w:kern w:val="0"/>
          <w:sz w:val="32"/>
          <w:highlight w:val="none"/>
          <w:u w:val="none" w:color="auto"/>
          <w:lang w:val="en-US" w:eastAsia="zh-CN"/>
        </w:rPr>
        <w:t>持山水林田湖草沙一体化保护和系统治理，持续优化生态系统格局，提高生态系统自我修复能力和稳定性，促进自然生态系统质量整体改善。严守生态保护红线，推进生态修复治理，优化生态肌理和风貌，全面提升生态系统质量和稳定性。深入实施河</w:t>
      </w:r>
      <w:r>
        <w:rPr>
          <w:rFonts w:hint="default" w:ascii="Times New Roman" w:hAnsi="Times New Roman" w:cs="Times New Roman"/>
          <w:color w:val="auto"/>
          <w:kern w:val="0"/>
          <w:sz w:val="32"/>
          <w:highlight w:val="none"/>
          <w:u w:val="none" w:color="auto"/>
          <w:lang w:val="en-US" w:eastAsia="zh-CN"/>
        </w:rPr>
        <w:t>道</w:t>
      </w:r>
      <w:r>
        <w:rPr>
          <w:rFonts w:hint="default" w:ascii="Times New Roman" w:hAnsi="Times New Roman" w:eastAsia="仿宋_GB2312" w:cs="Times New Roman"/>
          <w:color w:val="auto"/>
          <w:kern w:val="0"/>
          <w:sz w:val="32"/>
          <w:highlight w:val="none"/>
          <w:u w:val="none" w:color="auto"/>
          <w:lang w:val="en-US" w:eastAsia="zh-CN"/>
        </w:rPr>
        <w:t>清违、划线定界、秀美河湖、精细管护、共管共享行动，加强洙水河、万福河等河道整治和沿岸湿地建设，建设沿岸景观带，实现“水清、河畅、岸绿、景美”。健全林业管护机制，深入实施林长制，构建区、镇、村三级林长制联动体系，实现林业管护闭环管理。开展全域增绿行动，规划建设一批综合公园、社区公园、口袋公园、小区附属游园，构建起以自然公园为基底、综合公园为主体、社区公园为补充的公园建设体系，营造优美、安全、舒适、共享的城市空间，打造品质宜居城市。</w:t>
      </w:r>
    </w:p>
    <w:p w14:paraId="249E5D7E">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专栏1</w:t>
      </w:r>
      <w:r>
        <w:rPr>
          <w:rFonts w:hint="eastAsia" w:ascii="Times New Roman" w:hAnsi="Times New Roman" w:eastAsia="黑体" w:cs="Times New Roman"/>
          <w:color w:val="auto"/>
          <w:spacing w:val="0"/>
          <w:sz w:val="28"/>
          <w:szCs w:val="28"/>
          <w:highlight w:val="none"/>
          <w:u w:val="none" w:color="auto"/>
          <w:lang w:val="en-US" w:eastAsia="zh-CN"/>
        </w:rPr>
        <w:t>2</w:t>
      </w:r>
      <w:r>
        <w:rPr>
          <w:rFonts w:hint="default" w:ascii="Times New Roman" w:hAnsi="Times New Roman" w:eastAsia="黑体" w:cs="Times New Roman"/>
          <w:color w:val="auto"/>
          <w:spacing w:val="0"/>
          <w:sz w:val="28"/>
          <w:szCs w:val="28"/>
          <w:highlight w:val="none"/>
          <w:u w:val="none" w:color="auto"/>
          <w:lang w:val="en-US" w:eastAsia="zh-CN"/>
        </w:rPr>
        <w:t xml:space="preserve"> 生态保护和修复工程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B06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14:paraId="1E331EFC">
            <w:pPr>
              <w:keepNext w:val="0"/>
              <w:keepLines w:val="0"/>
              <w:pageBreakBefore w:val="0"/>
              <w:widowControl w:val="0"/>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楷体_GB2312" w:cs="Times New Roman"/>
                <w:color w:val="auto"/>
                <w:spacing w:val="0"/>
                <w:sz w:val="28"/>
                <w:szCs w:val="28"/>
                <w:highlight w:val="none"/>
                <w:u w:val="none" w:color="auto"/>
                <w:vertAlign w:val="baseline"/>
                <w:lang w:val="en-US" w:eastAsia="zh-CN"/>
              </w:rPr>
            </w:pPr>
            <w:r>
              <w:rPr>
                <w:rFonts w:hint="default" w:ascii="Times New Roman" w:hAnsi="Times New Roman" w:eastAsia="仿宋_GB2312" w:cs="Times New Roman"/>
                <w:b w:val="0"/>
                <w:bCs/>
                <w:color w:val="auto"/>
                <w:sz w:val="28"/>
                <w:szCs w:val="28"/>
                <w:highlight w:val="none"/>
                <w:u w:val="none" w:color="auto"/>
              </w:rPr>
              <w:t>菏泽市定陶新河流域水生态保护修复工程</w:t>
            </w:r>
            <w:r>
              <w:rPr>
                <w:rFonts w:hint="default" w:ascii="Times New Roman" w:hAnsi="Times New Roman" w:eastAsia="仿宋_GB2312" w:cs="Times New Roman"/>
                <w:b w:val="0"/>
                <w:bCs/>
                <w:color w:val="auto"/>
                <w:sz w:val="28"/>
                <w:szCs w:val="28"/>
                <w:highlight w:val="none"/>
                <w:u w:val="none" w:color="auto"/>
                <w:lang w:eastAsia="zh-CN"/>
              </w:rPr>
              <w:t>、</w:t>
            </w:r>
            <w:r>
              <w:rPr>
                <w:rFonts w:hint="default" w:ascii="Times New Roman" w:hAnsi="Times New Roman" w:eastAsia="仿宋_GB2312" w:cs="Times New Roman"/>
                <w:b w:val="0"/>
                <w:bCs/>
                <w:color w:val="auto"/>
                <w:sz w:val="28"/>
                <w:szCs w:val="28"/>
                <w:highlight w:val="none"/>
                <w:u w:val="none" w:color="auto"/>
              </w:rPr>
              <w:t>南渠河水污染综合治理项目</w:t>
            </w:r>
            <w:r>
              <w:rPr>
                <w:rFonts w:hint="default" w:ascii="Times New Roman" w:hAnsi="Times New Roman" w:eastAsia="仿宋_GB2312" w:cs="Times New Roman"/>
                <w:b w:val="0"/>
                <w:bCs/>
                <w:color w:val="auto"/>
                <w:sz w:val="28"/>
                <w:szCs w:val="28"/>
                <w:highlight w:val="none"/>
                <w:u w:val="none" w:color="auto"/>
                <w:lang w:eastAsia="zh-CN"/>
              </w:rPr>
              <w:t>、</w:t>
            </w:r>
            <w:r>
              <w:rPr>
                <w:rFonts w:hint="default" w:ascii="Times New Roman" w:hAnsi="Times New Roman" w:eastAsia="仿宋_GB2312" w:cs="Times New Roman"/>
                <w:b w:val="0"/>
                <w:bCs/>
                <w:color w:val="auto"/>
                <w:sz w:val="28"/>
                <w:szCs w:val="28"/>
                <w:highlight w:val="none"/>
                <w:u w:val="none" w:color="auto"/>
                <w:shd w:val="clear"/>
                <w:lang w:val="en-US" w:eastAsia="zh-CN"/>
              </w:rPr>
              <w:t>定陶区再生资源绿色分拣中心及废塑料化学循环资源化利用示范项目</w:t>
            </w:r>
            <w:r>
              <w:rPr>
                <w:rFonts w:hint="eastAsia" w:ascii="Times New Roman" w:hAnsi="Times New Roman" w:cs="Times New Roman"/>
                <w:b w:val="0"/>
                <w:bCs/>
                <w:color w:val="auto"/>
                <w:sz w:val="28"/>
                <w:szCs w:val="28"/>
                <w:highlight w:val="none"/>
                <w:u w:val="none" w:color="auto"/>
                <w:shd w:val="clear"/>
                <w:lang w:val="en-US" w:eastAsia="zh-CN"/>
              </w:rPr>
              <w:t>、</w:t>
            </w:r>
            <w:r>
              <w:rPr>
                <w:rFonts w:hint="default" w:ascii="Times New Roman" w:hAnsi="Times New Roman" w:cs="Times New Roman"/>
                <w:b w:val="0"/>
                <w:bCs/>
                <w:color w:val="auto"/>
                <w:sz w:val="28"/>
                <w:szCs w:val="28"/>
                <w:highlight w:val="none"/>
                <w:u w:val="none" w:color="auto"/>
                <w:lang w:eastAsia="zh-CN"/>
              </w:rPr>
              <w:t>定陶区生活垃圾分类和处理设施提</w:t>
            </w:r>
            <w:r>
              <w:rPr>
                <w:rFonts w:hint="eastAsia" w:ascii="Times New Roman" w:hAnsi="Times New Roman" w:cs="Times New Roman"/>
                <w:b w:val="0"/>
                <w:bCs/>
                <w:color w:val="auto"/>
                <w:sz w:val="28"/>
                <w:szCs w:val="28"/>
                <w:highlight w:val="none"/>
                <w:u w:val="none" w:color="auto"/>
                <w:lang w:eastAsia="zh-CN"/>
              </w:rPr>
              <w:t>标改造</w:t>
            </w:r>
            <w:r>
              <w:rPr>
                <w:rFonts w:hint="default" w:ascii="Times New Roman" w:hAnsi="Times New Roman" w:cs="Times New Roman"/>
                <w:b w:val="0"/>
                <w:bCs/>
                <w:color w:val="auto"/>
                <w:sz w:val="28"/>
                <w:szCs w:val="28"/>
                <w:highlight w:val="none"/>
                <w:u w:val="none" w:color="auto"/>
                <w:lang w:eastAsia="zh-CN"/>
              </w:rPr>
              <w:t>项目</w:t>
            </w:r>
          </w:p>
        </w:tc>
      </w:tr>
    </w:tbl>
    <w:p w14:paraId="5334B547">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12" w:name="_Toc833128130"/>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加快建设新型能源体系</w:t>
      </w:r>
      <w:bookmarkEnd w:id="112"/>
    </w:p>
    <w:p w14:paraId="406A0372">
      <w:pPr>
        <w:shd w:val="clear"/>
        <w:spacing w:line="240" w:lineRule="auto"/>
        <w:ind w:firstLine="632" w:firstLineChars="200"/>
        <w:rPr>
          <w:rFonts w:hint="default" w:ascii="Times New Roman" w:hAnsi="Times New Roman" w:cs="Times New Roman"/>
          <w:color w:val="auto"/>
          <w:szCs w:val="32"/>
          <w:highlight w:val="none"/>
          <w:u w:val="none" w:color="auto"/>
        </w:rPr>
      </w:pPr>
      <w:r>
        <w:rPr>
          <w:rFonts w:hint="default" w:ascii="Times New Roman" w:hAnsi="Times New Roman" w:cs="Times New Roman"/>
          <w:color w:val="auto"/>
          <w:szCs w:val="32"/>
          <w:highlight w:val="none"/>
          <w:u w:val="none" w:color="auto"/>
        </w:rPr>
        <w:t>加快推进传统能源系统清洁高效改造，大力推动新能源和可再生能源规模化发展，着力构建安全可靠、绿色低碳、智慧灵活的新型能源体系，全面提升能源供应保障能力和绿色发展水平。</w:t>
      </w:r>
    </w:p>
    <w:p w14:paraId="0A92445C">
      <w:pPr>
        <w:shd w:val="clear"/>
        <w:spacing w:line="240" w:lineRule="auto"/>
        <w:ind w:firstLine="632" w:firstLineChars="200"/>
        <w:rPr>
          <w:rFonts w:hint="default" w:ascii="Times New Roman" w:hAnsi="Times New Roman" w:cs="Times New Roman"/>
          <w:color w:val="auto"/>
          <w:szCs w:val="32"/>
          <w:highlight w:val="none"/>
          <w:u w:val="none" w:color="auto"/>
        </w:rPr>
      </w:pPr>
      <w:r>
        <w:rPr>
          <w:rFonts w:hint="default" w:ascii="Times New Roman" w:hAnsi="Times New Roman" w:cs="Times New Roman"/>
          <w:b/>
          <w:bCs/>
          <w:color w:val="auto"/>
          <w:szCs w:val="32"/>
          <w:highlight w:val="none"/>
          <w:u w:val="none" w:color="auto"/>
        </w:rPr>
        <w:t>推动传统能源基础设施改造提升。</w:t>
      </w:r>
      <w:r>
        <w:rPr>
          <w:rFonts w:hint="default" w:ascii="Times New Roman" w:hAnsi="Times New Roman" w:cs="Times New Roman"/>
          <w:color w:val="auto"/>
          <w:szCs w:val="32"/>
          <w:highlight w:val="none"/>
          <w:u w:val="none" w:color="auto"/>
        </w:rPr>
        <w:t>完善天然气输配体系，推进区域内燃气管网互联互通和城乡覆盖，增强气源多元储备与应急调峰能力。推动燃气在工业、商业和居民领域的清洁高效利用，构建稳定可靠、运行高效的燃气供应保障网络。推进智慧供热平台建设，实现热源统筹调度与管网智能调控，提升供热保障能力和能源利用效率。优化城市热源结构，推动清洁燃煤、天然气与新能源供热协同发展，加快供热</w:t>
      </w:r>
      <w:r>
        <w:rPr>
          <w:rFonts w:hint="default" w:ascii="Times New Roman" w:hAnsi="Times New Roman" w:cs="Times New Roman"/>
          <w:color w:val="auto"/>
          <w:highlight w:val="none"/>
          <w:lang w:val="en-US" w:eastAsia="zh-CN"/>
        </w:rPr>
        <w:t>管网</w:t>
      </w:r>
      <w:r>
        <w:rPr>
          <w:rFonts w:hint="default" w:ascii="Times New Roman" w:hAnsi="Times New Roman" w:cs="Times New Roman"/>
          <w:color w:val="auto"/>
          <w:szCs w:val="32"/>
          <w:highlight w:val="none"/>
          <w:u w:val="none" w:color="auto"/>
        </w:rPr>
        <w:t>升级改造与区域联网，构建多源互补、低碳高效的城市供热体系。</w:t>
      </w:r>
    </w:p>
    <w:p w14:paraId="63C121EE">
      <w:pPr>
        <w:shd w:val="clear"/>
        <w:spacing w:line="240" w:lineRule="auto"/>
        <w:ind w:firstLine="632" w:firstLineChars="200"/>
        <w:rPr>
          <w:rFonts w:hint="default" w:ascii="Times New Roman" w:hAnsi="Times New Roman" w:cs="Times New Roman"/>
          <w:color w:val="auto"/>
          <w:szCs w:val="32"/>
          <w:highlight w:val="none"/>
          <w:u w:val="none" w:color="auto"/>
        </w:rPr>
      </w:pPr>
      <w:r>
        <w:rPr>
          <w:rFonts w:hint="default" w:ascii="Times New Roman" w:hAnsi="Times New Roman" w:cs="Times New Roman"/>
          <w:b/>
          <w:bCs/>
          <w:color w:val="auto"/>
          <w:szCs w:val="32"/>
          <w:highlight w:val="none"/>
          <w:u w:val="none" w:color="auto"/>
          <w:lang w:val="en-US" w:eastAsia="zh-CN"/>
        </w:rPr>
        <w:t>构建新型电力系统。</w:t>
      </w:r>
      <w:r>
        <w:rPr>
          <w:rFonts w:hint="default" w:ascii="Times New Roman" w:hAnsi="Times New Roman" w:cs="Times New Roman"/>
          <w:color w:val="auto"/>
          <w:szCs w:val="32"/>
          <w:highlight w:val="none"/>
          <w:u w:val="none" w:color="auto"/>
        </w:rPr>
        <w:t>加快构建适应新能源占比逐步提升的新型电力系统，推动电网智能化、柔性化改造，优化城乡配网结构，提升电网承载能力和分布式能源接入水平。推进智能微电网建设，通过关键节点布局电网侧储能，提升大规模高比例新能源及</w:t>
      </w:r>
      <w:r>
        <w:rPr>
          <w:rFonts w:hint="default" w:ascii="Times New Roman" w:hAnsi="Times New Roman" w:cs="Times New Roman"/>
          <w:color w:val="auto"/>
          <w:szCs w:val="32"/>
          <w:highlight w:val="none"/>
          <w:u w:val="none" w:color="auto"/>
          <w:shd w:val="clear"/>
        </w:rPr>
        <w:t>大容量直流接</w:t>
      </w:r>
      <w:r>
        <w:rPr>
          <w:rFonts w:hint="default" w:ascii="Times New Roman" w:hAnsi="Times New Roman" w:cs="Times New Roman"/>
          <w:color w:val="auto"/>
          <w:szCs w:val="32"/>
          <w:highlight w:val="none"/>
          <w:u w:val="none" w:color="auto"/>
        </w:rPr>
        <w:t>入后系统灵活调节能力和安全稳定水平</w:t>
      </w:r>
      <w:r>
        <w:rPr>
          <w:rFonts w:hint="default" w:ascii="Times New Roman" w:hAnsi="Times New Roman" w:cs="Times New Roman"/>
          <w:color w:val="auto"/>
          <w:szCs w:val="32"/>
          <w:highlight w:val="none"/>
          <w:u w:val="none" w:color="auto"/>
          <w:lang w:eastAsia="zh-CN"/>
        </w:rPr>
        <w:t>，</w:t>
      </w:r>
      <w:r>
        <w:rPr>
          <w:rFonts w:hint="default" w:ascii="Times New Roman" w:hAnsi="Times New Roman" w:cs="Times New Roman"/>
          <w:color w:val="auto"/>
          <w:szCs w:val="32"/>
          <w:highlight w:val="none"/>
          <w:u w:val="none" w:color="auto"/>
        </w:rPr>
        <w:t>建设电网侧储能或风光储电站，提高电网供电能力。布局一批配置储能的系统友好型新能源电站项目，</w:t>
      </w:r>
      <w:r>
        <w:rPr>
          <w:rFonts w:hint="default" w:ascii="Times New Roman" w:hAnsi="Times New Roman" w:cs="Times New Roman"/>
          <w:color w:val="auto"/>
          <w:szCs w:val="32"/>
          <w:highlight w:val="none"/>
          <w:u w:val="none" w:color="auto"/>
          <w:shd w:val="clear"/>
        </w:rPr>
        <w:t>通过储能协同优化运行保障新能源高效消纳利用</w:t>
      </w:r>
      <w:r>
        <w:rPr>
          <w:rFonts w:hint="default" w:ascii="Times New Roman" w:hAnsi="Times New Roman" w:cs="Times New Roman"/>
          <w:color w:val="auto"/>
          <w:szCs w:val="32"/>
          <w:highlight w:val="none"/>
          <w:u w:val="none" w:color="auto"/>
        </w:rPr>
        <w:t>，为电力系统提供容量支撑及一定调峰能力。探索利用退役火电机组的既有厂址和输变电设施建设储能或风光储设施。</w:t>
      </w:r>
    </w:p>
    <w:p w14:paraId="4DF02EC3">
      <w:pPr>
        <w:shd w:val="clear"/>
        <w:spacing w:line="240" w:lineRule="auto"/>
        <w:ind w:firstLine="632" w:firstLineChars="200"/>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cs="Times New Roman"/>
          <w:b/>
          <w:bCs/>
          <w:color w:val="auto"/>
          <w:szCs w:val="32"/>
          <w:highlight w:val="none"/>
          <w:u w:val="none" w:color="auto"/>
        </w:rPr>
        <w:t>大力发展清洁能源。</w:t>
      </w:r>
      <w:r>
        <w:rPr>
          <w:rFonts w:hint="default" w:ascii="Times New Roman" w:hAnsi="Times New Roman" w:cs="Times New Roman"/>
          <w:color w:val="auto"/>
          <w:szCs w:val="32"/>
          <w:highlight w:val="none"/>
          <w:u w:val="none" w:color="auto"/>
        </w:rPr>
        <w:t>积极发展分布式光伏，</w:t>
      </w:r>
      <w:r>
        <w:rPr>
          <w:rFonts w:hint="default" w:ascii="Times New Roman" w:hAnsi="Times New Roman" w:cs="Times New Roman"/>
          <w:color w:val="auto"/>
          <w:szCs w:val="32"/>
          <w:highlight w:val="none"/>
          <w:u w:val="none" w:color="auto"/>
          <w:lang w:val="en-US" w:eastAsia="zh-CN"/>
        </w:rPr>
        <w:t>鼓励</w:t>
      </w:r>
      <w:r>
        <w:rPr>
          <w:rFonts w:hint="default" w:ascii="Times New Roman" w:hAnsi="Times New Roman" w:cs="Times New Roman"/>
          <w:color w:val="auto"/>
          <w:szCs w:val="32"/>
          <w:highlight w:val="none"/>
          <w:u w:val="none" w:color="auto"/>
        </w:rPr>
        <w:t>企业自主选择“全额上网”“</w:t>
      </w:r>
      <w:r>
        <w:rPr>
          <w:rFonts w:hint="default" w:ascii="Times New Roman" w:hAnsi="Times New Roman" w:cs="Times New Roman"/>
          <w:color w:val="auto"/>
          <w:szCs w:val="32"/>
          <w:highlight w:val="none"/>
          <w:u w:val="none" w:color="auto"/>
          <w:lang w:val="en-US" w:eastAsia="zh-CN"/>
        </w:rPr>
        <w:t>自发</w:t>
      </w:r>
      <w:r>
        <w:rPr>
          <w:rFonts w:hint="default" w:ascii="Times New Roman" w:hAnsi="Times New Roman" w:cs="Times New Roman"/>
          <w:color w:val="auto"/>
          <w:szCs w:val="32"/>
          <w:highlight w:val="none"/>
          <w:u w:val="none" w:color="auto"/>
        </w:rPr>
        <w:t>自用”</w:t>
      </w:r>
      <w:r>
        <w:rPr>
          <w:rFonts w:hint="default" w:ascii="Times New Roman" w:hAnsi="Times New Roman" w:cs="Times New Roman"/>
          <w:color w:val="auto"/>
          <w:szCs w:val="32"/>
          <w:highlight w:val="none"/>
          <w:u w:val="none" w:color="auto"/>
          <w:lang w:eastAsia="zh-CN"/>
        </w:rPr>
        <w:t>“</w:t>
      </w:r>
      <w:r>
        <w:rPr>
          <w:rFonts w:hint="default" w:ascii="Times New Roman" w:hAnsi="Times New Roman" w:cs="Times New Roman"/>
          <w:color w:val="auto"/>
          <w:szCs w:val="32"/>
          <w:highlight w:val="none"/>
          <w:u w:val="none" w:color="auto"/>
          <w:lang w:val="en-US" w:eastAsia="zh-CN"/>
        </w:rPr>
        <w:t>自发自用余电</w:t>
      </w:r>
      <w:r>
        <w:rPr>
          <w:rFonts w:hint="default" w:ascii="Times New Roman" w:hAnsi="Times New Roman" w:cs="Times New Roman"/>
          <w:color w:val="auto"/>
          <w:szCs w:val="32"/>
          <w:highlight w:val="none"/>
          <w:u w:val="none" w:color="auto"/>
        </w:rPr>
        <w:t>上网</w:t>
      </w:r>
      <w:r>
        <w:rPr>
          <w:rFonts w:hint="default" w:ascii="Times New Roman" w:hAnsi="Times New Roman" w:cs="Times New Roman"/>
          <w:color w:val="auto"/>
          <w:szCs w:val="32"/>
          <w:highlight w:val="none"/>
          <w:u w:val="none" w:color="auto"/>
          <w:lang w:eastAsia="zh-CN"/>
        </w:rPr>
        <w:t>”</w:t>
      </w:r>
      <w:r>
        <w:rPr>
          <w:rFonts w:hint="default" w:ascii="Times New Roman" w:hAnsi="Times New Roman" w:cs="Times New Roman"/>
          <w:color w:val="auto"/>
          <w:szCs w:val="32"/>
          <w:highlight w:val="none"/>
          <w:u w:val="none" w:color="auto"/>
          <w:lang w:val="en-US" w:eastAsia="zh-CN"/>
        </w:rPr>
        <w:t>等</w:t>
      </w:r>
      <w:r>
        <w:rPr>
          <w:rFonts w:hint="default" w:ascii="Times New Roman" w:hAnsi="Times New Roman" w:cs="Times New Roman"/>
          <w:color w:val="auto"/>
          <w:szCs w:val="32"/>
          <w:highlight w:val="none"/>
          <w:u w:val="none" w:color="auto"/>
        </w:rPr>
        <w:t>方式，降低企业用电成本，促进分布式新能源就近消纳利用。因地制宜推进生物质能、地热能等可再生能源开发利用，鼓励发展生物质发电降碳项目，积极发展生物质供热、生物质液体燃料、生物质航空煤油、生物质氢气等产业。探索“新能源</w:t>
      </w:r>
      <w:r>
        <w:rPr>
          <w:rFonts w:hint="default" w:ascii="Times New Roman" w:hAnsi="Times New Roman" w:eastAsia="仿宋_GB2312" w:cs="Times New Roman"/>
          <w:b w:val="0"/>
          <w:bCs w:val="0"/>
          <w:color w:val="auto"/>
          <w:szCs w:val="32"/>
          <w:highlight w:val="none"/>
          <w:u w:val="none" w:color="auto"/>
        </w:rPr>
        <w:t>+</w:t>
      </w:r>
      <w:r>
        <w:rPr>
          <w:rFonts w:hint="default" w:ascii="Times New Roman" w:hAnsi="Times New Roman" w:cs="Times New Roman"/>
          <w:color w:val="auto"/>
          <w:szCs w:val="32"/>
          <w:highlight w:val="none"/>
          <w:u w:val="none" w:color="auto"/>
        </w:rPr>
        <w:t>储能”一体化发展模式，推动多能互补和清洁能源规模化应用，提升非化石能源在能源消费中的比重。</w:t>
      </w:r>
    </w:p>
    <w:p w14:paraId="25C34332">
      <w:pPr>
        <w:jc w:val="center"/>
        <w:rPr>
          <w:rFonts w:hint="default" w:ascii="Times New Roman" w:hAnsi="Times New Roman" w:eastAsia="黑体" w:cs="Times New Roman"/>
          <w:color w:val="auto"/>
          <w:spacing w:val="0"/>
          <w:sz w:val="30"/>
          <w:szCs w:val="30"/>
          <w:highlight w:val="none"/>
          <w:u w:val="none" w:color="auto"/>
          <w:lang w:val="en-US" w:eastAsia="zh-CN"/>
        </w:rPr>
      </w:pPr>
    </w:p>
    <w:p w14:paraId="26E57727">
      <w:pPr>
        <w:jc w:val="center"/>
        <w:rPr>
          <w:rFonts w:hint="default" w:ascii="Times New Roman" w:hAnsi="Times New Roman" w:eastAsia="黑体" w:cs="Times New Roman"/>
          <w:color w:val="auto"/>
          <w:spacing w:val="0"/>
          <w:sz w:val="30"/>
          <w:szCs w:val="30"/>
          <w:highlight w:val="none"/>
          <w:u w:val="none" w:color="auto"/>
          <w:lang w:val="en-US" w:eastAsia="zh-CN"/>
        </w:rPr>
      </w:pPr>
    </w:p>
    <w:p w14:paraId="49B1243B">
      <w:pPr>
        <w:jc w:val="center"/>
        <w:rPr>
          <w:rFonts w:hint="default" w:ascii="Times New Roman" w:hAnsi="Times New Roman" w:eastAsia="黑体" w:cs="Times New Roman"/>
          <w:color w:val="auto"/>
          <w:spacing w:val="0"/>
          <w:sz w:val="30"/>
          <w:szCs w:val="30"/>
          <w:highlight w:val="none"/>
          <w:u w:val="none" w:color="auto"/>
          <w:lang w:val="en-US" w:eastAsia="zh-CN"/>
        </w:rPr>
      </w:pPr>
    </w:p>
    <w:p w14:paraId="6718DB23">
      <w:pPr>
        <w:jc w:val="center"/>
        <w:rPr>
          <w:rFonts w:hint="default" w:ascii="Times New Roman" w:hAnsi="Times New Roman" w:eastAsia="黑体" w:cs="Times New Roman"/>
          <w:color w:val="auto"/>
          <w:spacing w:val="0"/>
          <w:sz w:val="30"/>
          <w:szCs w:val="30"/>
          <w:highlight w:val="none"/>
          <w:u w:val="none" w:color="auto"/>
          <w:lang w:val="en-US" w:eastAsia="zh-CN"/>
        </w:rPr>
      </w:pPr>
    </w:p>
    <w:p w14:paraId="24C179CC">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专栏1</w:t>
      </w:r>
      <w:r>
        <w:rPr>
          <w:rFonts w:hint="eastAsia" w:ascii="Times New Roman" w:hAnsi="Times New Roman" w:eastAsia="黑体" w:cs="Times New Roman"/>
          <w:color w:val="auto"/>
          <w:spacing w:val="0"/>
          <w:sz w:val="28"/>
          <w:szCs w:val="28"/>
          <w:highlight w:val="none"/>
          <w:u w:val="none" w:color="auto"/>
          <w:lang w:val="en-US" w:eastAsia="zh-CN"/>
        </w:rPr>
        <w:t>3</w:t>
      </w:r>
      <w:r>
        <w:rPr>
          <w:rFonts w:hint="default" w:ascii="Times New Roman" w:hAnsi="Times New Roman" w:eastAsia="黑体" w:cs="Times New Roman"/>
          <w:color w:val="auto"/>
          <w:spacing w:val="0"/>
          <w:sz w:val="28"/>
          <w:szCs w:val="28"/>
          <w:highlight w:val="none"/>
          <w:u w:val="none" w:color="auto"/>
          <w:lang w:val="en-US" w:eastAsia="zh-CN"/>
        </w:rPr>
        <w:t xml:space="preserve"> 能源发展工程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5B2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14:paraId="3469F673">
            <w:pPr>
              <w:keepNext w:val="0"/>
              <w:keepLines w:val="0"/>
              <w:pageBreakBefore w:val="0"/>
              <w:widowControl w:val="0"/>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仿宋_GB2312" w:cs="Times New Roman"/>
                <w:color w:val="auto"/>
                <w:spacing w:val="0"/>
                <w:sz w:val="28"/>
                <w:szCs w:val="28"/>
                <w:highlight w:val="none"/>
                <w:u w:val="none" w:color="auto"/>
                <w:lang w:val="en-US" w:eastAsia="zh-CN"/>
              </w:rPr>
            </w:pPr>
            <w:r>
              <w:rPr>
                <w:rFonts w:hint="default" w:ascii="Times New Roman" w:hAnsi="Times New Roman" w:eastAsia="楷体_GB2312" w:cs="Times New Roman"/>
                <w:b/>
                <w:bCs/>
                <w:color w:val="auto"/>
                <w:spacing w:val="0"/>
                <w:sz w:val="28"/>
                <w:szCs w:val="28"/>
                <w:highlight w:val="none"/>
                <w:u w:val="none" w:color="auto"/>
                <w:lang w:val="en-US" w:eastAsia="zh-CN"/>
              </w:rPr>
              <w:t>1.能源项目开发。</w:t>
            </w:r>
            <w:r>
              <w:rPr>
                <w:rFonts w:hint="default" w:ascii="Times New Roman" w:hAnsi="Times New Roman" w:eastAsia="仿宋_GB2312" w:cs="Times New Roman"/>
                <w:color w:val="auto"/>
                <w:spacing w:val="0"/>
                <w:sz w:val="28"/>
                <w:szCs w:val="28"/>
                <w:highlight w:val="none"/>
                <w:u w:val="none" w:color="auto"/>
                <w:lang w:val="en-US" w:eastAsia="zh-CN"/>
              </w:rPr>
              <w:t>菏泽市定陶区XFC极速充电动力电池生产基地项目</w:t>
            </w:r>
            <w:r>
              <w:rPr>
                <w:rFonts w:hint="default" w:ascii="Times New Roman" w:hAnsi="Times New Roman" w:cs="Times New Roman"/>
                <w:color w:val="auto"/>
                <w:spacing w:val="0"/>
                <w:sz w:val="28"/>
                <w:szCs w:val="28"/>
                <w:highlight w:val="none"/>
                <w:u w:val="none" w:color="auto"/>
                <w:lang w:val="en-US" w:eastAsia="zh-CN"/>
              </w:rPr>
              <w:t>、菏泽山高风电定陶区28.75万千瓦集中式风力发电项目、</w:t>
            </w:r>
            <w:r>
              <w:rPr>
                <w:rFonts w:hint="default" w:ascii="Times New Roman" w:hAnsi="Times New Roman" w:eastAsia="仿宋_GB2312" w:cs="Times New Roman"/>
                <w:color w:val="auto"/>
                <w:spacing w:val="0"/>
                <w:sz w:val="28"/>
                <w:szCs w:val="28"/>
                <w:highlight w:val="none"/>
                <w:u w:val="none" w:color="auto"/>
                <w:lang w:val="en-US" w:eastAsia="zh-CN"/>
              </w:rPr>
              <w:t>山东菏泽市定陶区3.75万千瓦分散式风力发电项目、定陶区整县制屋顶分布式光伏项目</w:t>
            </w:r>
            <w:r>
              <w:rPr>
                <w:rFonts w:hint="default" w:ascii="Times New Roman" w:hAnsi="Times New Roman" w:cs="Times New Roman"/>
                <w:color w:val="auto"/>
                <w:spacing w:val="0"/>
                <w:sz w:val="28"/>
                <w:szCs w:val="28"/>
                <w:highlight w:val="none"/>
                <w:u w:val="none" w:color="auto"/>
                <w:lang w:val="en-US" w:eastAsia="zh-CN"/>
              </w:rPr>
              <w:t>。</w:t>
            </w:r>
          </w:p>
          <w:p w14:paraId="23313DB7">
            <w:pPr>
              <w:keepNext w:val="0"/>
              <w:keepLines w:val="0"/>
              <w:pageBreakBefore w:val="0"/>
              <w:widowControl w:val="0"/>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楷体_GB2312" w:cs="Times New Roman"/>
                <w:color w:val="auto"/>
                <w:spacing w:val="0"/>
                <w:sz w:val="28"/>
                <w:szCs w:val="28"/>
                <w:highlight w:val="none"/>
                <w:u w:val="none" w:color="auto"/>
                <w:lang w:val="en-US" w:eastAsia="zh-CN"/>
              </w:rPr>
            </w:pPr>
            <w:r>
              <w:rPr>
                <w:rFonts w:hint="default" w:ascii="Times New Roman" w:hAnsi="Times New Roman" w:eastAsia="楷体_GB2312" w:cs="Times New Roman"/>
                <w:b/>
                <w:bCs/>
                <w:color w:val="auto"/>
                <w:spacing w:val="0"/>
                <w:sz w:val="28"/>
                <w:szCs w:val="28"/>
                <w:highlight w:val="none"/>
                <w:u w:val="none" w:color="auto"/>
                <w:lang w:val="en-US" w:eastAsia="zh-CN"/>
              </w:rPr>
              <w:t>2.加强电网建设。</w:t>
            </w:r>
            <w:r>
              <w:rPr>
                <w:rFonts w:hint="default" w:ascii="Times New Roman" w:hAnsi="Times New Roman" w:eastAsia="仿宋_GB2312" w:cs="Times New Roman"/>
                <w:color w:val="auto"/>
                <w:spacing w:val="0"/>
                <w:sz w:val="28"/>
                <w:szCs w:val="28"/>
                <w:highlight w:val="none"/>
                <w:u w:val="none" w:color="auto"/>
                <w:lang w:val="en-US" w:eastAsia="zh-CN"/>
              </w:rPr>
              <w:t>陶驿（菏泽Ⅳ）500千伏输变电工程</w:t>
            </w:r>
            <w:r>
              <w:rPr>
                <w:rFonts w:hint="default" w:ascii="Times New Roman" w:hAnsi="Times New Roman" w:cs="Times New Roman"/>
                <w:color w:val="auto"/>
                <w:spacing w:val="0"/>
                <w:sz w:val="28"/>
                <w:szCs w:val="28"/>
                <w:highlight w:val="none"/>
                <w:u w:val="none" w:color="auto"/>
                <w:lang w:val="en-US" w:eastAsia="zh-CN"/>
              </w:rPr>
              <w:t>、</w:t>
            </w:r>
            <w:r>
              <w:rPr>
                <w:rFonts w:hint="default" w:ascii="Times New Roman" w:hAnsi="Times New Roman" w:eastAsia="仿宋_GB2312" w:cs="Times New Roman"/>
                <w:color w:val="auto"/>
                <w:spacing w:val="0"/>
                <w:sz w:val="28"/>
                <w:szCs w:val="28"/>
                <w:highlight w:val="none"/>
                <w:u w:val="none" w:color="auto"/>
                <w:lang w:val="en-US" w:eastAsia="zh-CN"/>
              </w:rPr>
              <w:t>山东菏泽定陶芙蓉110千伏输变电工程</w:t>
            </w:r>
            <w:r>
              <w:rPr>
                <w:rFonts w:hint="default" w:ascii="Times New Roman" w:hAnsi="Times New Roman" w:cs="Times New Roman"/>
                <w:color w:val="auto"/>
                <w:spacing w:val="0"/>
                <w:sz w:val="28"/>
                <w:szCs w:val="28"/>
                <w:highlight w:val="none"/>
                <w:u w:val="none" w:color="auto"/>
                <w:lang w:val="en-US" w:eastAsia="zh-CN"/>
              </w:rPr>
              <w:t>。</w:t>
            </w:r>
          </w:p>
        </w:tc>
      </w:tr>
      <w:bookmarkEnd w:id="110"/>
      <w:bookmarkEnd w:id="111"/>
    </w:tbl>
    <w:p w14:paraId="2E035C19">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13" w:name="_Toc27133"/>
      <w:bookmarkStart w:id="114" w:name="_Toc17470"/>
      <w:bookmarkStart w:id="115" w:name="_Toc1322468983"/>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有序推进碳排放达峰</w:t>
      </w:r>
      <w:bookmarkEnd w:id="113"/>
      <w:bookmarkEnd w:id="114"/>
      <w:bookmarkEnd w:id="115"/>
    </w:p>
    <w:p w14:paraId="5D861480">
      <w:pPr>
        <w:shd w:val="clear"/>
        <w:spacing w:line="240" w:lineRule="auto"/>
        <w:ind w:firstLine="632" w:firstLineChars="200"/>
        <w:rPr>
          <w:rFonts w:hint="default" w:ascii="Times New Roman" w:hAnsi="Times New Roman" w:eastAsia="仿宋_GB2312" w:cs="Times New Roman"/>
          <w:color w:val="auto"/>
          <w:sz w:val="32"/>
          <w:highlight w:val="none"/>
          <w:u w:val="none" w:color="auto"/>
          <w:lang w:val="en-US" w:eastAsia="zh-CN"/>
        </w:rPr>
      </w:pPr>
      <w:r>
        <w:rPr>
          <w:rFonts w:hint="default" w:ascii="Times New Roman" w:hAnsi="Times New Roman" w:eastAsia="仿宋_GB2312" w:cs="Times New Roman"/>
          <w:color w:val="auto"/>
          <w:sz w:val="32"/>
          <w:highlight w:val="none"/>
          <w:u w:val="none" w:color="auto"/>
          <w:lang w:val="en-US" w:eastAsia="zh-CN"/>
        </w:rPr>
        <w:t>推动绿色低碳发展，统筹产业转型、生活风尚革新与治理创新，系统构建绿色循环的经济体系、简约适度的生活风尚及智能协同的治理体系，加快形成绿色低碳的生产生活方式。</w:t>
      </w:r>
    </w:p>
    <w:p w14:paraId="1F947508">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落实碳排放双控制度。</w:t>
      </w:r>
      <w:r>
        <w:rPr>
          <w:rFonts w:hint="default" w:ascii="Times New Roman" w:hAnsi="Times New Roman" w:eastAsia="仿宋_GB2312" w:cs="Times New Roman"/>
          <w:color w:val="auto"/>
          <w:sz w:val="32"/>
          <w:highlight w:val="none"/>
          <w:u w:val="none" w:color="auto"/>
          <w:lang w:val="en-US" w:eastAsia="zh-CN"/>
        </w:rPr>
        <w:t>围绕服务国家“双碳”目标，全方位</w:t>
      </w:r>
      <w:r>
        <w:rPr>
          <w:rFonts w:hint="eastAsia" w:ascii="Times New Roman" w:hAnsi="Times New Roman" w:cs="Times New Roman"/>
          <w:color w:val="auto"/>
          <w:sz w:val="32"/>
          <w:highlight w:val="none"/>
          <w:u w:val="none" w:color="auto"/>
          <w:lang w:val="en-US" w:eastAsia="zh-CN"/>
        </w:rPr>
        <w:t>、</w:t>
      </w:r>
      <w:r>
        <w:rPr>
          <w:rFonts w:hint="default" w:ascii="Times New Roman" w:hAnsi="Times New Roman" w:eastAsia="仿宋_GB2312" w:cs="Times New Roman"/>
          <w:color w:val="auto"/>
          <w:sz w:val="32"/>
          <w:highlight w:val="none"/>
          <w:u w:val="none" w:color="auto"/>
          <w:lang w:val="en-US" w:eastAsia="zh-CN"/>
        </w:rPr>
        <w:t>全过程推行绿色规划、绿色建设、绿色生产、绿色流通、绿色生活、绿色消费，打造“绿色技术＋绿色产业＋绿色城市”全域应用场景。</w:t>
      </w:r>
      <w:r>
        <w:rPr>
          <w:rFonts w:hint="default" w:ascii="Times New Roman" w:hAnsi="Times New Roman" w:eastAsia="仿宋_GB2312" w:cs="Times New Roman"/>
          <w:color w:val="auto"/>
          <w:spacing w:val="0"/>
          <w:sz w:val="32"/>
          <w:szCs w:val="32"/>
          <w:highlight w:val="none"/>
          <w:u w:val="none" w:color="auto"/>
        </w:rPr>
        <w:t>建立健全碳排放预算管理制度，对电力、建材等重点高耗能行业实施碳排放总量控制，对重点碳排放单位开展精准预算管理</w:t>
      </w:r>
      <w:r>
        <w:rPr>
          <w:rFonts w:hint="default" w:ascii="Times New Roman" w:hAnsi="Times New Roman"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加强碳排放统计核算能力建设，完善监测体系，确保数据真实、准确、可追溯。</w:t>
      </w:r>
      <w:r>
        <w:rPr>
          <w:rFonts w:hint="default" w:ascii="Times New Roman" w:hAnsi="Times New Roman" w:eastAsia="仿宋_GB2312" w:cs="Times New Roman"/>
          <w:color w:val="auto"/>
          <w:spacing w:val="0"/>
          <w:sz w:val="32"/>
          <w:highlight w:val="none"/>
          <w:u w:val="none" w:color="auto"/>
          <w:lang w:val="en-US" w:eastAsia="zh-CN"/>
        </w:rPr>
        <w:t>开展固定资产投资项目碳排放评价，完善固定资产投资项目节能审查制度和建设项目环境影响评价制度，严把新上项目能效准入关，探索开展重点行业新上项目碳排放等量、减量替代。构建产品碳足迹管理体系，制定碳足迹核算标准，加快建立碳足迹背景数据库和产品碳标识认证制度，确保如期实现碳达峰目标。</w:t>
      </w:r>
    </w:p>
    <w:p w14:paraId="2D2537C2">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推动</w:t>
      </w:r>
      <w:r>
        <w:rPr>
          <w:rStyle w:val="19"/>
          <w:rFonts w:hint="default" w:ascii="Times New Roman" w:hAnsi="Times New Roman" w:cs="Times New Roman"/>
          <w:bCs/>
          <w:i w:val="0"/>
          <w:iCs w:val="0"/>
          <w:caps w:val="0"/>
          <w:color w:val="auto"/>
          <w:spacing w:val="0"/>
          <w:kern w:val="0"/>
          <w:sz w:val="32"/>
          <w:szCs w:val="32"/>
          <w:highlight w:val="none"/>
          <w:u w:val="none" w:color="auto"/>
          <w:shd w:val="clear" w:fill="FFFFFF"/>
          <w:lang w:val="en-US" w:eastAsia="zh-CN" w:bidi="ar"/>
        </w:rPr>
        <w:t>重点领域</w:t>
      </w: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转型</w:t>
      </w:r>
      <w:r>
        <w:rPr>
          <w:rStyle w:val="19"/>
          <w:rFonts w:hint="default" w:ascii="Times New Roman" w:hAnsi="Times New Roman" w:cs="Times New Roman"/>
          <w:bCs/>
          <w:i w:val="0"/>
          <w:iCs w:val="0"/>
          <w:caps w:val="0"/>
          <w:color w:val="auto"/>
          <w:spacing w:val="0"/>
          <w:kern w:val="0"/>
          <w:sz w:val="32"/>
          <w:szCs w:val="32"/>
          <w:highlight w:val="none"/>
          <w:u w:val="none" w:color="auto"/>
          <w:shd w:val="clear" w:fill="FFFFFF"/>
          <w:lang w:val="en-US" w:eastAsia="zh-CN" w:bidi="ar"/>
        </w:rPr>
        <w:t>升级</w:t>
      </w: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坚决遏制“两高”项目盲目发展</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新建“两高”项目严格落实产能、能耗、碳排放、污染物排放等替代要求，主要产品能效水平对标国家能耗限额先进标准</w:t>
      </w:r>
      <w:r>
        <w:rPr>
          <w:rStyle w:val="19"/>
          <w:rFonts w:hint="eastAsia"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力争达到国际先进水平。</w:t>
      </w:r>
      <w:r>
        <w:rPr>
          <w:rFonts w:hint="default" w:ascii="Times New Roman" w:hAnsi="Times New Roman" w:eastAsia="仿宋_GB2312" w:cs="Times New Roman"/>
          <w:color w:val="auto"/>
          <w:sz w:val="32"/>
          <w:highlight w:val="none"/>
          <w:u w:val="none" w:color="auto"/>
          <w:lang w:val="en-US" w:eastAsia="zh-CN"/>
        </w:rPr>
        <w:t>以节能减碳为导向，实施绿色产业指导目录，加快布局绿色低碳新兴产业，重点发展绿色新材料等先进制造业和临空服务等现代服务业，引导市场主体积极培育绿色发展新增长点。</w:t>
      </w:r>
      <w:r>
        <w:rPr>
          <w:rFonts w:hint="default" w:ascii="Times New Roman" w:hAnsi="Times New Roman" w:eastAsia="仿宋_GB2312" w:cs="Times New Roman"/>
          <w:color w:val="auto"/>
          <w:spacing w:val="0"/>
          <w:sz w:val="32"/>
          <w:highlight w:val="none"/>
          <w:u w:val="none" w:color="auto"/>
          <w:lang w:val="en-US" w:eastAsia="zh-CN"/>
        </w:rPr>
        <w:t>加快传统产业绿色化</w:t>
      </w:r>
      <w:r>
        <w:rPr>
          <w:rFonts w:hint="eastAsia" w:ascii="Times New Roman" w:hAnsi="Times New Roman" w:cs="Times New Roman"/>
          <w:color w:val="auto"/>
          <w:spacing w:val="0"/>
          <w:sz w:val="32"/>
          <w:highlight w:val="none"/>
          <w:u w:val="none" w:color="auto"/>
          <w:lang w:val="en-US" w:eastAsia="zh-CN"/>
        </w:rPr>
        <w:t>、</w:t>
      </w:r>
      <w:r>
        <w:rPr>
          <w:rFonts w:hint="default" w:ascii="Times New Roman" w:hAnsi="Times New Roman" w:eastAsia="仿宋_GB2312" w:cs="Times New Roman"/>
          <w:color w:val="auto"/>
          <w:spacing w:val="0"/>
          <w:sz w:val="32"/>
          <w:highlight w:val="none"/>
          <w:u w:val="none" w:color="auto"/>
          <w:lang w:val="en-US" w:eastAsia="zh-CN"/>
        </w:rPr>
        <w:t>高端化发展，推动机械制造、纺织服装、食品加工等传统产业从加工制造向研发设计、品牌营销等环节延伸，加快产品结构、用能结构、原料结构优化调整和工艺流程再造。探索建立覆盖策划、设计、生产、施工、交付等全过程的绿色建造标准体系，全面推广绿色建筑和超低能耗建筑，推动绿色建造与装配式建筑深度融合，城镇新建民用建筑绿色建筑标准执行率和达标率实现100%。</w:t>
      </w:r>
    </w:p>
    <w:p w14:paraId="36F55910">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Fonts w:hint="default" w:ascii="Times New Roman" w:hAnsi="Times New Roman" w:eastAsia="仿宋_GB2312" w:cs="Times New Roman"/>
          <w:b/>
          <w:bCs/>
          <w:color w:val="auto"/>
          <w:spacing w:val="0"/>
          <w:sz w:val="32"/>
          <w:highlight w:val="none"/>
          <w:u w:val="none" w:color="auto"/>
          <w:lang w:val="en-US" w:eastAsia="zh-CN"/>
        </w:rPr>
        <w:t>大力发展循环经济</w:t>
      </w:r>
      <w:r>
        <w:rPr>
          <w:rFonts w:hint="default" w:ascii="Times New Roman" w:hAnsi="Times New Roman" w:cs="Times New Roman"/>
          <w:b/>
          <w:bCs/>
          <w:color w:val="auto"/>
          <w:spacing w:val="0"/>
          <w:sz w:val="32"/>
          <w:highlight w:val="none"/>
          <w:u w:val="none" w:color="auto"/>
          <w:lang w:val="en-US" w:eastAsia="zh-CN"/>
        </w:rPr>
        <w:t>。</w:t>
      </w:r>
      <w:r>
        <w:rPr>
          <w:rFonts w:hint="default" w:ascii="Times New Roman" w:hAnsi="Times New Roman" w:cs="Times New Roman"/>
          <w:b w:val="0"/>
          <w:bCs w:val="0"/>
          <w:color w:val="auto"/>
          <w:highlight w:val="none"/>
          <w:u w:val="none" w:color="auto"/>
        </w:rPr>
        <w:t>推动源头减量</w:t>
      </w:r>
      <w:r>
        <w:rPr>
          <w:rFonts w:hint="default" w:ascii="Times New Roman" w:hAnsi="Times New Roman" w:cs="Times New Roman"/>
          <w:b w:val="0"/>
          <w:bCs w:val="0"/>
          <w:color w:val="auto"/>
          <w:highlight w:val="none"/>
          <w:u w:val="none" w:color="auto"/>
          <w:lang w:eastAsia="zh-CN"/>
        </w:rPr>
        <w:t>，</w:t>
      </w:r>
      <w:r>
        <w:rPr>
          <w:rFonts w:hint="default" w:ascii="Times New Roman" w:hAnsi="Times New Roman" w:cs="Times New Roman"/>
          <w:b w:val="0"/>
          <w:bCs w:val="0"/>
          <w:color w:val="auto"/>
          <w:highlight w:val="none"/>
          <w:u w:val="none" w:color="auto"/>
        </w:rPr>
        <w:t>通过优化产业结构、推行绿色设计、产业耦合、生产生活循环链接等多种措施，从源头大幅减少固体废物的产生和排放。</w:t>
      </w:r>
      <w:r>
        <w:rPr>
          <w:rFonts w:hint="default" w:ascii="Times New Roman" w:hAnsi="Times New Roman" w:cs="Times New Roman"/>
          <w:color w:val="auto"/>
          <w:highlight w:val="none"/>
          <w:u w:val="none" w:color="auto"/>
        </w:rPr>
        <w:t>深入实施化肥、农药减量行动，全面推行片区循环农业模式，大力推广秸秆还田、畜禽粪污资源化利用等关键技术，提升资源利用效率，建设安全、生态、高效的环境友好型农业。加快推进农业废弃物处理中心建设，稳步发展畜禽生态健康养殖与渔业池塘循环水养殖，推广以沼气为纽带的高效循环农业发展模式。依托循环经济融合发展产业园，重点推动定陶区再生资源绿色分拣中心、定陶区60万吨/年混合废塑料资源化综合利用等项目建成投产，加快构建覆盖农业、工业、能源等领域的循环经济产业体系。</w:t>
      </w:r>
    </w:p>
    <w:p w14:paraId="1930C21D">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val="en-US" w:eastAsia="zh-CN"/>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倡导绿色生活方式。</w:t>
      </w:r>
      <w:r>
        <w:rPr>
          <w:rFonts w:hint="default" w:ascii="Times New Roman" w:hAnsi="Times New Roman" w:eastAsia="仿宋_GB2312" w:cs="Times New Roman"/>
          <w:color w:val="auto"/>
          <w:spacing w:val="0"/>
          <w:sz w:val="32"/>
          <w:highlight w:val="none"/>
          <w:u w:val="none" w:color="auto"/>
          <w:lang w:val="en-US" w:eastAsia="zh-CN"/>
        </w:rPr>
        <w:t>大力开展节能降碳宣传教育，依托世界地球日、世界环境日、节能宣传周、全国低碳日等节日，举办一批节能减排主题活动，广泛普及生态文化知识。倡导节约用能，增强居民节约意识、环保意识、生态意识，遏制不合理能源消费，引导形成简约适度、绿色低碳的生活方式。积极推动新能源汽车在公共领域应用</w:t>
      </w:r>
      <w:r>
        <w:rPr>
          <w:rFonts w:hint="eastAsia" w:ascii="Times New Roman" w:hAnsi="Times New Roman" w:cs="Times New Roman"/>
          <w:color w:val="auto"/>
          <w:spacing w:val="0"/>
          <w:sz w:val="32"/>
          <w:highlight w:val="none"/>
          <w:u w:val="none" w:color="auto"/>
          <w:lang w:val="en-US" w:eastAsia="zh-CN"/>
        </w:rPr>
        <w:t>，</w:t>
      </w:r>
      <w:r>
        <w:rPr>
          <w:rFonts w:hint="default" w:ascii="Times New Roman" w:hAnsi="Times New Roman" w:eastAsia="仿宋_GB2312" w:cs="Times New Roman"/>
          <w:color w:val="auto"/>
          <w:spacing w:val="0"/>
          <w:sz w:val="32"/>
          <w:highlight w:val="none"/>
          <w:u w:val="none" w:color="auto"/>
          <w:lang w:val="en-US" w:eastAsia="zh-CN"/>
        </w:rPr>
        <w:t>开展节约型机关、绿色家庭、绿色学校、绿色社区、绿色出行、绿色商场、绿色建筑等绿色生活创建行动，评选一批优秀典型，推广简约适度、绿色低碳、文明健康的生活理念和生活方式。积极倡导绿色消费，开展厉行节约、反对浪费行动，杜绝过度包装，全面推行光盘行动，引导居民使用环保再生、节能低碳产品。探索建设碳普惠平台，建立碳普惠运营管理机制、碳减排量消纳机制等，引导激励公民和组织积极参与绿色消费、低碳出行、可回收物分类等绿色低碳行动。</w:t>
      </w:r>
    </w:p>
    <w:p w14:paraId="7D7041AC">
      <w:pPr>
        <w:shd w:val="clear"/>
        <w:overflowPunct w:val="0"/>
        <w:spacing w:line="240" w:lineRule="auto"/>
        <w:rPr>
          <w:rFonts w:hint="default" w:ascii="Times New Roman" w:hAnsi="Times New Roman" w:eastAsia="黑体" w:cs="Times New Roman"/>
          <w:color w:val="auto"/>
          <w:spacing w:val="0"/>
          <w:kern w:val="44"/>
          <w:sz w:val="32"/>
          <w:szCs w:val="24"/>
          <w:highlight w:val="none"/>
          <w:u w:val="none" w:color="auto"/>
          <w:lang w:val="en-US" w:eastAsia="zh-CN" w:bidi="ar-SA"/>
        </w:rPr>
      </w:pPr>
      <w:r>
        <w:rPr>
          <w:rFonts w:hint="default" w:ascii="Times New Roman" w:hAnsi="Times New Roman" w:eastAsia="黑体" w:cs="Times New Roman"/>
          <w:color w:val="auto"/>
          <w:spacing w:val="0"/>
          <w:kern w:val="44"/>
          <w:sz w:val="32"/>
          <w:szCs w:val="24"/>
          <w:highlight w:val="none"/>
          <w:u w:val="none" w:color="auto"/>
          <w:lang w:val="en-US" w:eastAsia="zh-CN" w:bidi="ar-SA"/>
        </w:rPr>
        <w:br w:type="page"/>
      </w:r>
    </w:p>
    <w:p w14:paraId="4FE8A0B6">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116" w:name="_Toc31526"/>
      <w:bookmarkStart w:id="117" w:name="_Toc14588"/>
      <w:bookmarkStart w:id="118" w:name="_Toc505818337"/>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 xml:space="preserve">第十一章 持续增进民生福祉 </w:t>
      </w:r>
      <w:bookmarkEnd w:id="116"/>
      <w:bookmarkEnd w:id="117"/>
      <w:r>
        <w:rPr>
          <w:rStyle w:val="19"/>
          <w:rFonts w:hint="eastAsia"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加快推动成果共享</w:t>
      </w:r>
      <w:bookmarkEnd w:id="118"/>
    </w:p>
    <w:p w14:paraId="38BABB68">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rPr>
      </w:pPr>
      <w:r>
        <w:rPr>
          <w:rFonts w:hint="default" w:ascii="Times New Roman" w:hAnsi="Times New Roman" w:eastAsia="仿宋_GB2312" w:cs="Times New Roman"/>
          <w:color w:val="auto"/>
          <w:spacing w:val="0"/>
          <w:sz w:val="32"/>
          <w:highlight w:val="none"/>
          <w:u w:val="none" w:color="auto"/>
        </w:rPr>
        <w:t>坚持把实现人民对美好生活的向往作为发展的出发点和落脚点，在高质量发展中补齐民生短板、筑牢保障底线，扎实推动共同富裕，切实提升群众获得感、幸福感、安全感。</w:t>
      </w:r>
    </w:p>
    <w:p w14:paraId="780E0B7D">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19" w:name="_Toc695592777"/>
      <w:bookmarkStart w:id="120" w:name="_Toc8990"/>
      <w:bookmarkStart w:id="121" w:name="_Toc2582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推动更高质量就业</w:t>
      </w:r>
      <w:bookmarkEnd w:id="119"/>
      <w:bookmarkEnd w:id="120"/>
      <w:bookmarkEnd w:id="121"/>
    </w:p>
    <w:p w14:paraId="28EE5661">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深入实施就业优先战略，着力解决结构性就业矛盾，加快构建就业友好型发展方式，不断健全收入增长和分配机制，推动居民收入增长和经济增长同步。</w:t>
      </w:r>
    </w:p>
    <w:p w14:paraId="7DFB50F0">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促进高质量充分就业。</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实施就业优先战略，加大重点群体就业支持力度，</w:t>
      </w:r>
      <w:r>
        <w:rPr>
          <w:rFonts w:hint="default" w:ascii="Times New Roman" w:hAnsi="Times New Roman" w:eastAsia="仿宋_GB2312" w:cs="Times New Roman"/>
          <w:bCs/>
          <w:color w:val="auto"/>
          <w:spacing w:val="0"/>
          <w:kern w:val="2"/>
          <w:sz w:val="32"/>
          <w:szCs w:val="32"/>
          <w:highlight w:val="none"/>
          <w:u w:val="none" w:color="auto"/>
          <w:lang w:val="zh-CN" w:eastAsia="zh-CN" w:bidi="ar-SA"/>
        </w:rPr>
        <w:t>多渠道帮助和引导高校毕业生、农民工、返乡人员实现就业创业。</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落实“三支一扶”计划等基层服务项目，统筹用好公益性岗位，对残疾人、零就业家庭成员等就业困难人员提供优先扶持和重点帮助。支持经营主体稳岗扩岗，全面落实见习补贴、职业培训补贴等政策工具。健全就业创业公共服务体系，为劳动者和企业免费提供政策咨询、职业介绍、用工指导服务。强化创业带动就业，发挥返乡创业服务站作用，打造具有定陶特色的创业街区，强化创业补贴、创业担保贷款及贴息等政策支持，发挥创业带动就业“倍增效应”。推进“社区微业”，拓展就业岗位</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强化技能培训</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完善服务保障，实现家门口就业创业。</w:t>
      </w:r>
    </w:p>
    <w:p w14:paraId="5FE98645">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稳步提高城乡居民收入。</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健全劳动</w:t>
      </w:r>
      <w:r>
        <w:rPr>
          <w:rFonts w:hint="default" w:ascii="Times New Roman" w:hAnsi="Times New Roman" w:cs="Times New Roman"/>
          <w:color w:val="auto"/>
          <w:highlight w:val="none"/>
          <w:lang w:val="en-US" w:eastAsia="zh-CN"/>
        </w:rPr>
        <w:t>报酬</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提高与劳动生产率提高基本同步机制，稳步增加居民劳动收入。依法保护劳动者权益，保障农民工工资支付，鼓励和引导企业提高员工福利待遇。推动土地、资本等要素使用权、收益权合法合规流转，鼓励金融机构丰富居民可投资金融产品，增加技术、管理和知识要素收入，稳步提升科研人员、技术工人、高素质农民</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农村致富带头人和乡村好青年等重点群体收入，培育壮大中等收入群体。加大税收、社会保障、转移支付等调节力度和精准性，更好发挥第三次分配作用，合理调节城乡、区域、不同群体间分配关系。</w:t>
      </w:r>
    </w:p>
    <w:p w14:paraId="57966EF9">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22" w:name="_Toc12235"/>
      <w:bookmarkStart w:id="123" w:name="_Toc132366054"/>
      <w:bookmarkStart w:id="124" w:name="_Toc13589"/>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发展优质均衡教育</w:t>
      </w:r>
      <w:bookmarkEnd w:id="122"/>
      <w:bookmarkEnd w:id="123"/>
      <w:bookmarkEnd w:id="124"/>
    </w:p>
    <w:p w14:paraId="46FF2B87">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坚持教育优先发展，加快构建幼有优育、学有优教的高质量教育体系，持续增加优质教育资源供给，促进教育</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发展成果更多更公平惠及全体人民</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w:t>
      </w:r>
    </w:p>
    <w:p w14:paraId="74DD6F0F">
      <w:pPr>
        <w:shd w:val="clear"/>
        <w:spacing w:line="240" w:lineRule="auto"/>
        <w:ind w:firstLine="632" w:firstLineChars="200"/>
        <w:rPr>
          <w:rStyle w:val="19"/>
          <w:rFonts w:hint="default" w:ascii="Times New Roman" w:hAnsi="Times New Roman" w:eastAsia="仿宋_GB2312" w:cs="Times New Roman"/>
          <w:b w:val="0"/>
          <w:color w:val="auto"/>
          <w:kern w:val="0"/>
          <w:sz w:val="32"/>
          <w:szCs w:val="32"/>
          <w:highlight w:val="none"/>
          <w:u w:val="none" w:color="auto"/>
          <w:shd w:val="clear" w:color="auto" w:fill="FFFFFF"/>
        </w:rPr>
      </w:pPr>
      <w:r>
        <w:rPr>
          <w:rStyle w:val="19"/>
          <w:rFonts w:hint="default" w:ascii="Times New Roman" w:hAnsi="Times New Roman" w:eastAsia="仿宋_GB2312" w:cs="Times New Roman"/>
          <w:bCs/>
          <w:color w:val="auto"/>
          <w:kern w:val="0"/>
          <w:sz w:val="32"/>
          <w:szCs w:val="32"/>
          <w:highlight w:val="none"/>
          <w:u w:val="none" w:color="auto"/>
          <w:shd w:val="clear" w:color="auto" w:fill="FFFFFF"/>
        </w:rPr>
        <w:t>构建高质量教育体系。</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完善学前教育管理体制，规范办园行为</w:t>
      </w:r>
      <w:r>
        <w:rPr>
          <w:rStyle w:val="19"/>
          <w:rFonts w:hint="default" w:ascii="Times New Roman" w:hAnsi="Times New Roman" w:cs="Times New Roman"/>
          <w:b w:val="0"/>
          <w:color w:val="auto"/>
          <w:kern w:val="0"/>
          <w:sz w:val="32"/>
          <w:szCs w:val="32"/>
          <w:highlight w:val="none"/>
          <w:u w:val="none" w:color="auto"/>
          <w:shd w:val="clear" w:color="auto" w:fill="FFFFFF"/>
          <w:lang w:eastAsia="zh-CN"/>
        </w:rPr>
        <w:t>，</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切实发挥省级幼儿园的带动作用，开展结对帮扶活动，缩小城乡公办园发展差距，发展普及普惠安全优质的学前教育。聚焦提升育人质量，全力推进义务教育优质均衡发展。完善五育并举课程体系，抓好教学常规</w:t>
      </w:r>
      <w:r>
        <w:rPr>
          <w:rStyle w:val="19"/>
          <w:rFonts w:hint="default" w:ascii="Times New Roman" w:hAnsi="Times New Roman" w:cs="Times New Roman"/>
          <w:b w:val="0"/>
          <w:color w:val="auto"/>
          <w:kern w:val="0"/>
          <w:sz w:val="32"/>
          <w:szCs w:val="32"/>
          <w:highlight w:val="none"/>
          <w:u w:val="none" w:color="auto"/>
          <w:shd w:val="clear" w:color="auto" w:fill="FFFFFF"/>
          <w:lang w:eastAsia="zh-CN"/>
        </w:rPr>
        <w:t>落实</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创建达标课堂，发挥教研支撑作用，推进城乡教育质量提升，持续优化教学质量评价体系。实施普通高中“强科培优”计划，推动普通高中特色学校创建，建设学科基地和特色高中，形成特色多样的普通高中教育新样态。加强职业教育特色专业建设，建立高水平教师引进“绿色通道”，完善立体化现代职业教育体系</w:t>
      </w:r>
      <w:r>
        <w:rPr>
          <w:rStyle w:val="19"/>
          <w:rFonts w:hint="default" w:ascii="Times New Roman" w:hAnsi="Times New Roman" w:cs="Times New Roman"/>
          <w:b w:val="0"/>
          <w:color w:val="auto"/>
          <w:kern w:val="0"/>
          <w:sz w:val="32"/>
          <w:szCs w:val="32"/>
          <w:highlight w:val="none"/>
          <w:u w:val="none" w:color="auto"/>
          <w:shd w:val="clear" w:color="auto" w:fill="FFFFFF"/>
          <w:lang w:eastAsia="zh-CN"/>
        </w:rPr>
        <w:t>、党团队一体化育人新体系，以“党建引领，团建赋能，队建筑基”为主线，激发教育的红色基因</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加强民办教育综合整治，规范民办教育持续健康发展。深化对证照不全培训机构的治理，防范化解校外培训行业风险问题。大力推进特殊教育融合发展，建设特殊教育资源中心，实施随班就读示范校建设工程，提高</w:t>
      </w:r>
      <w:r>
        <w:rPr>
          <w:rStyle w:val="19"/>
          <w:rFonts w:hint="default" w:ascii="Times New Roman" w:hAnsi="Times New Roman" w:cs="Times New Roman"/>
          <w:b w:val="0"/>
          <w:color w:val="auto"/>
          <w:kern w:val="0"/>
          <w:sz w:val="32"/>
          <w:szCs w:val="32"/>
          <w:highlight w:val="none"/>
          <w:u w:val="none" w:color="auto"/>
          <w:shd w:val="clear" w:color="auto" w:fill="FFFFFF"/>
          <w:lang w:eastAsia="zh-CN"/>
        </w:rPr>
        <w:t>特殊</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教育群体的精准化服务水平。</w:t>
      </w:r>
    </w:p>
    <w:p w14:paraId="7F6673DB">
      <w:pPr>
        <w:shd w:val="clear"/>
        <w:spacing w:line="240" w:lineRule="auto"/>
        <w:ind w:firstLine="632" w:firstLineChars="200"/>
        <w:rPr>
          <w:rStyle w:val="19"/>
          <w:rFonts w:hint="default" w:ascii="Times New Roman" w:hAnsi="Times New Roman" w:eastAsia="仿宋_GB2312" w:cs="Times New Roman"/>
          <w:b w:val="0"/>
          <w:color w:val="auto"/>
          <w:kern w:val="0"/>
          <w:sz w:val="32"/>
          <w:szCs w:val="32"/>
          <w:highlight w:val="none"/>
          <w:u w:val="none" w:color="auto"/>
          <w:shd w:val="clear" w:color="auto" w:fill="FFFFFF"/>
        </w:rPr>
      </w:pPr>
      <w:r>
        <w:rPr>
          <w:rStyle w:val="19"/>
          <w:rFonts w:hint="default" w:ascii="Times New Roman" w:hAnsi="Times New Roman" w:eastAsia="仿宋_GB2312" w:cs="Times New Roman"/>
          <w:bCs/>
          <w:color w:val="auto"/>
          <w:kern w:val="0"/>
          <w:sz w:val="32"/>
          <w:szCs w:val="32"/>
          <w:highlight w:val="none"/>
          <w:u w:val="none" w:color="auto"/>
          <w:shd w:val="clear" w:color="auto" w:fill="FFFFFF"/>
        </w:rPr>
        <w:t>深化教育领域综合改革。</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实施全环境立德树人行动，打造“一校一品”“一校多品”的德育新格局。动态调整学校布局，有序、稳妥实施中小学“合校并点”，到2030年，全区范围内实现每个学区保留1所标准化中学、配套保留2</w:t>
      </w:r>
      <w:r>
        <w:rPr>
          <w:rStyle w:val="19"/>
          <w:rFonts w:hint="eastAsia" w:ascii="Times New Roman" w:hAnsi="Times New Roman" w:cs="Times New Roman"/>
          <w:b w:val="0"/>
          <w:color w:val="auto"/>
          <w:kern w:val="0"/>
          <w:sz w:val="32"/>
          <w:szCs w:val="32"/>
          <w:highlight w:val="none"/>
          <w:u w:val="none" w:color="auto"/>
          <w:shd w:val="clear" w:color="auto" w:fill="FFFFFF"/>
          <w:lang w:eastAsia="zh-CN"/>
        </w:rPr>
        <w:t>—</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3所规范化小学的学校布局。实施“强校扩优”行动，持续开展“名校</w:t>
      </w:r>
      <w:r>
        <w:rPr>
          <w:rStyle w:val="19"/>
          <w:rFonts w:hint="default" w:ascii="Times New Roman" w:hAnsi="Times New Roman" w:cs="Times New Roman"/>
          <w:b w:val="0"/>
          <w:color w:val="auto"/>
          <w:kern w:val="0"/>
          <w:sz w:val="32"/>
          <w:szCs w:val="32"/>
          <w:highlight w:val="none"/>
          <w:u w:val="none" w:color="auto"/>
          <w:shd w:val="clear" w:color="auto" w:fill="FFFFFF"/>
          <w:lang w:eastAsia="zh-CN"/>
        </w:rPr>
        <w:t>＋</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”集团化办学管理和跨区域教育共同体改革，创新镇域小学一体化、薄弱学校托管等形式，推进城乡学校结对全覆盖，提升城乡基础教育优质均衡水平。全面实施学生</w:t>
      </w:r>
      <w:r>
        <w:rPr>
          <w:rStyle w:val="19"/>
          <w:rFonts w:hint="default" w:ascii="Times New Roman" w:hAnsi="Times New Roman" w:cs="Times New Roman"/>
          <w:b w:val="0"/>
          <w:color w:val="auto"/>
          <w:kern w:val="0"/>
          <w:sz w:val="32"/>
          <w:szCs w:val="32"/>
          <w:highlight w:val="none"/>
          <w:u w:val="none" w:color="auto"/>
          <w:shd w:val="clear" w:color="auto" w:fill="FFFFFF"/>
          <w:lang w:eastAsia="zh-CN"/>
        </w:rPr>
        <w:t>体质强健</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计划和美育浸润行动，加快推进体育、美育特色学校建设，强化科技教育，实现所有学校科普工作全覆盖</w:t>
      </w:r>
      <w:r>
        <w:rPr>
          <w:rStyle w:val="19"/>
          <w:rFonts w:hint="default" w:ascii="Times New Roman" w:hAnsi="Times New Roman" w:cs="Times New Roman"/>
          <w:b w:val="0"/>
          <w:color w:val="auto"/>
          <w:kern w:val="0"/>
          <w:sz w:val="32"/>
          <w:szCs w:val="32"/>
          <w:highlight w:val="none"/>
          <w:u w:val="none" w:color="auto"/>
          <w:shd w:val="clear" w:color="auto" w:fill="FFFFFF"/>
          <w:lang w:eastAsia="zh-CN"/>
        </w:rPr>
        <w:t>，</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加强中小学劳动教育，构建系统化劳动课程体系。完善教育质量考核办法，健全具有定陶特色的教育评价体系，塑强“宜学定陶”品牌。实施智慧校园提升行动，推进智能研修平台应用试验区建设，全面提升师生信息化素养。</w:t>
      </w:r>
    </w:p>
    <w:p w14:paraId="07A27257">
      <w:pPr>
        <w:shd w:val="clear"/>
        <w:spacing w:line="240" w:lineRule="auto"/>
        <w:ind w:firstLine="632" w:firstLineChars="200"/>
        <w:rPr>
          <w:rStyle w:val="19"/>
          <w:rFonts w:hint="default" w:ascii="Times New Roman" w:hAnsi="Times New Roman" w:eastAsia="仿宋_GB2312" w:cs="Times New Roman"/>
          <w:b w:val="0"/>
          <w:color w:val="auto"/>
          <w:kern w:val="0"/>
          <w:sz w:val="32"/>
          <w:szCs w:val="32"/>
          <w:highlight w:val="none"/>
          <w:u w:val="none" w:color="auto"/>
          <w:shd w:val="clear" w:color="auto" w:fill="FFFFFF"/>
        </w:rPr>
      </w:pPr>
      <w:r>
        <w:rPr>
          <w:rStyle w:val="19"/>
          <w:rFonts w:hint="default" w:ascii="Times New Roman" w:hAnsi="Times New Roman" w:eastAsia="仿宋_GB2312" w:cs="Times New Roman"/>
          <w:bCs/>
          <w:color w:val="auto"/>
          <w:kern w:val="0"/>
          <w:sz w:val="32"/>
          <w:szCs w:val="32"/>
          <w:highlight w:val="none"/>
          <w:u w:val="none" w:color="auto"/>
          <w:shd w:val="clear" w:color="auto" w:fill="FFFFFF"/>
        </w:rPr>
        <w:t>完善家校社协同育人体系。</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落实全员育人导师制，推进班主任育人关键能力提升计划，创新实施社会与情感能力培养，推动师德建设长效化、制度化。</w:t>
      </w:r>
      <w:r>
        <w:rPr>
          <w:rFonts w:hint="default" w:ascii="Times New Roman" w:hAnsi="Times New Roman" w:cs="Times New Roman"/>
          <w:color w:val="auto"/>
          <w:highlight w:val="none"/>
          <w:lang w:val="en-US" w:eastAsia="zh-CN"/>
        </w:rPr>
        <w:t>构建</w:t>
      </w:r>
      <w:r>
        <w:rPr>
          <w:rStyle w:val="19"/>
          <w:rFonts w:hint="default" w:ascii="Times New Roman" w:hAnsi="Times New Roman" w:eastAsia="仿宋_GB2312" w:cs="Times New Roman"/>
          <w:b w:val="0"/>
          <w:color w:val="auto"/>
          <w:kern w:val="0"/>
          <w:sz w:val="32"/>
          <w:szCs w:val="32"/>
          <w:highlight w:val="none"/>
          <w:u w:val="none" w:color="auto"/>
          <w:shd w:val="clear" w:color="auto" w:fill="FFFFFF"/>
        </w:rPr>
        <w:t>“全员筑基、骨干强核、三名领航”的三级教师培养体系，倡导教育家办学，建设高素质校长队伍。鼓励弘扬优良家风，培育向上向善家庭文化，积极引导子女参加多种形式的文明实践、社会劳动、志愿服务活动，帮助孩子树立正确人生观、价值观。积极开展心理健康教育课程，配齐心理健康教师队伍，完善心理健康教育工作体系。积极推进全民终身学习型城市建设，打造融合开放的终身教育体系。</w:t>
      </w:r>
    </w:p>
    <w:p w14:paraId="3042F69D">
      <w:pPr>
        <w:jc w:val="center"/>
        <w:rPr>
          <w:rFonts w:hint="default" w:ascii="Times New Roman" w:hAnsi="Times New Roman" w:eastAsia="黑体" w:cs="Times New Roman"/>
          <w:color w:val="auto"/>
          <w:spacing w:val="0"/>
          <w:sz w:val="28"/>
          <w:szCs w:val="28"/>
          <w:highlight w:val="none"/>
          <w:u w:val="none" w:color="auto"/>
          <w:lang w:val="en-US" w:eastAsia="zh-CN"/>
        </w:rPr>
      </w:pPr>
      <w:r>
        <w:rPr>
          <w:rFonts w:hint="default" w:ascii="Times New Roman" w:hAnsi="Times New Roman" w:eastAsia="黑体" w:cs="Times New Roman"/>
          <w:color w:val="auto"/>
          <w:spacing w:val="0"/>
          <w:sz w:val="28"/>
          <w:szCs w:val="28"/>
          <w:highlight w:val="none"/>
          <w:u w:val="none" w:color="auto"/>
          <w:lang w:val="en-US" w:eastAsia="zh-CN"/>
        </w:rPr>
        <w:t>专栏1</w:t>
      </w:r>
      <w:r>
        <w:rPr>
          <w:rFonts w:hint="eastAsia" w:ascii="Times New Roman" w:hAnsi="Times New Roman" w:eastAsia="黑体" w:cs="Times New Roman"/>
          <w:color w:val="auto"/>
          <w:spacing w:val="0"/>
          <w:sz w:val="28"/>
          <w:szCs w:val="28"/>
          <w:highlight w:val="none"/>
          <w:u w:val="none" w:color="auto"/>
          <w:lang w:val="en-US" w:eastAsia="zh-CN"/>
        </w:rPr>
        <w:t>4</w:t>
      </w:r>
      <w:r>
        <w:rPr>
          <w:rFonts w:hint="default" w:ascii="Times New Roman" w:hAnsi="Times New Roman" w:eastAsia="黑体" w:cs="Times New Roman"/>
          <w:color w:val="auto"/>
          <w:spacing w:val="0"/>
          <w:sz w:val="28"/>
          <w:szCs w:val="28"/>
          <w:highlight w:val="none"/>
          <w:u w:val="none" w:color="auto"/>
          <w:lang w:val="en-US" w:eastAsia="zh-CN"/>
        </w:rPr>
        <w:t xml:space="preserve"> 教育提质升级工程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CBC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14:paraId="4CFC006E">
            <w:pPr>
              <w:keepNext w:val="0"/>
              <w:keepLines w:val="0"/>
              <w:pageBreakBefore w:val="0"/>
              <w:widowControl w:val="0"/>
              <w:kinsoku/>
              <w:wordWrap/>
              <w:overflowPunct/>
              <w:topLinePunct w:val="0"/>
              <w:autoSpaceDE/>
              <w:autoSpaceDN/>
              <w:bidi w:val="0"/>
              <w:adjustRightInd/>
              <w:snapToGrid/>
              <w:spacing w:line="500" w:lineRule="exact"/>
              <w:ind w:firstLine="552" w:firstLineChars="200"/>
              <w:jc w:val="both"/>
              <w:textAlignment w:val="auto"/>
              <w:rPr>
                <w:rFonts w:hint="default" w:ascii="Times New Roman" w:hAnsi="Times New Roman" w:eastAsia="楷体_GB2312" w:cs="Times New Roman"/>
                <w:bCs/>
                <w:color w:val="auto"/>
                <w:spacing w:val="0"/>
                <w:kern w:val="2"/>
                <w:sz w:val="28"/>
                <w:szCs w:val="28"/>
                <w:highlight w:val="none"/>
                <w:u w:val="none" w:color="auto"/>
                <w:vertAlign w:val="baseline"/>
                <w:lang w:val="en-US" w:eastAsia="zh-CN" w:bidi="ar-SA"/>
              </w:rPr>
            </w:pPr>
            <w:r>
              <w:rPr>
                <w:rFonts w:hint="default" w:ascii="Times New Roman" w:hAnsi="Times New Roman" w:eastAsia="仿宋_GB2312" w:cs="Times New Roman"/>
                <w:bCs/>
                <w:color w:val="auto"/>
                <w:spacing w:val="0"/>
                <w:kern w:val="2"/>
                <w:sz w:val="28"/>
                <w:szCs w:val="28"/>
                <w:highlight w:val="none"/>
                <w:u w:val="none" w:color="auto"/>
                <w:vertAlign w:val="baseline"/>
                <w:lang w:val="en-US" w:eastAsia="zh-CN" w:bidi="ar-SA"/>
              </w:rPr>
              <w:t>定陶明德学校高中部、定陶区第一实验中学高中部教学楼建设项目、区技工学校（职教产业园）</w:t>
            </w:r>
          </w:p>
        </w:tc>
      </w:tr>
    </w:tbl>
    <w:p w14:paraId="5F19653E">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25" w:name="_Toc20938"/>
      <w:bookmarkStart w:id="126" w:name="_Toc22458"/>
      <w:bookmarkStart w:id="127" w:name="_Toc148450687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加快建设健康定陶</w:t>
      </w:r>
      <w:bookmarkEnd w:id="125"/>
      <w:bookmarkEnd w:id="126"/>
      <w:bookmarkEnd w:id="127"/>
    </w:p>
    <w:p w14:paraId="5BEB880A">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实施健康优先发展战略，加快推进基本公共卫生服务均等化、基本医疗服务均质化和</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优质</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医疗卫生资源配置区域均衡化，发展防治康管全链条服务，提高人均预期寿命和人民</w:t>
      </w:r>
      <w:r>
        <w:rPr>
          <w:rFonts w:hint="default" w:ascii="Times New Roman" w:hAnsi="Times New Roman" w:cs="Times New Roman"/>
          <w:color w:val="auto"/>
          <w:highlight w:val="none"/>
          <w:lang w:val="en-US" w:eastAsia="zh-CN"/>
        </w:rPr>
        <w:t>健康</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水平。</w:t>
      </w:r>
    </w:p>
    <w:p w14:paraId="7EC6535D">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提升医疗卫生水平。</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推动优质医疗资源均衡布局，加快区人民医院新院区建成启用，引导区级医院优势学科向基层转移，推进基层医疗服务和管理同质化。到2030年，争创1</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2个省级临床重点专科或重点学科，建设6</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8个市级中医重点专科、市级临床重点专科或临床精品特色专科。推进疾控中心标准化建设，补齐基础设施、人员和实验室设备配置短板。以优化急救资源布局为抓手，加快完善城乡急救网络建设，力争推进1</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2个一级急救站，切实缩短急救半径，提升院前急救响应效率。大力发展“互联网</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医疗健康”，升级区域全民健康信息平台，实现医疗卫生机构信息互联互通、数据共享和业务协同，推广人工智能、大数据等技术在辅助诊疗、疾病预测、健康管理、医院管理等方面的应用。</w:t>
      </w:r>
    </w:p>
    <w:p w14:paraId="50DAB2E3">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推动中医药创新发展。</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规范完善区中医医院急诊科建设，强化区中医医院医疗质量管理，深入实施“中医五个全科化”建设。健全区人民医院、区妇幼保健院中西医结合诊疗机制，推进中医全科化服务。全面完善镇街卫生院、村卫生室中医药综合服务，提升基层中医药服务能力。开展中医药特色疗法基层培训推广。推动中医药产业融合发展，做大药膳食堂</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品牌</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，弘扬传承中医药传统文化。深入开展“中医药文化进校园”“中医药文化夜市”“中医生活化社区行”等活动，提高居民中医药素养。</w:t>
      </w:r>
    </w:p>
    <w:p w14:paraId="4C0E4B4F">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zh-CN" w:eastAsia="zh-CN" w:bidi="ar"/>
        </w:rPr>
        <w:t>倡导</w:t>
      </w: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积极</w:t>
      </w: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zh-CN" w:eastAsia="zh-CN" w:bidi="ar"/>
        </w:rPr>
        <w:t>健康生活方式。</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深入开展爱国卫生月、世界无烟日等群众性爱国卫生活动，倡导文明健康、绿色环保生活方式。</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zh-CN" w:eastAsia="zh-CN" w:bidi="ar"/>
        </w:rPr>
        <w:t>实施全民健康素养提升行动，通过健康讲座、新媒体科普等多种形式，普及健康知识，到2030年居民健康素养水平达到38%以上。</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强化慢性病预防管理和医防融合，扩大癌症、心脑血管疾病等早期筛查和早期发现受益人群覆盖面，开展出生缺陷防治知识普及和健康教育，深入实施农村适龄妇女宫颈癌和乳腺癌检查等项目。健全全民健身公共服务体系，推动公共体育设施全面开放，进一步加大体育公园、健身步道建设力度，全区人均体育场地面积达到</w:t>
      </w:r>
      <w:r>
        <w:rPr>
          <w:rFonts w:hint="default" w:ascii="Times New Roman" w:hAnsi="Times New Roman" w:cs="Times New Roman"/>
          <w:bCs/>
          <w:color w:val="auto"/>
          <w:spacing w:val="0"/>
          <w:kern w:val="2"/>
          <w:sz w:val="32"/>
          <w:szCs w:val="32"/>
          <w:highlight w:val="none"/>
          <w:u w:val="none" w:color="auto"/>
          <w:lang w:val="en-US" w:eastAsia="zh-CN" w:bidi="ar-SA"/>
        </w:rPr>
        <w:t>3</w:t>
      </w:r>
      <w:r>
        <w:rPr>
          <w:rFonts w:hint="eastAsia" w:ascii="Times New Roman" w:hAnsi="Times New Roman" w:cs="Times New Roman"/>
          <w:bCs/>
          <w:color w:val="auto"/>
          <w:spacing w:val="0"/>
          <w:kern w:val="2"/>
          <w:sz w:val="32"/>
          <w:szCs w:val="32"/>
          <w:highlight w:val="none"/>
          <w:u w:val="none" w:color="auto"/>
          <w:lang w:val="en-US" w:eastAsia="zh-CN" w:bidi="ar-SA"/>
        </w:rPr>
        <w:t>.0</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平方米以上。鼓励和引导居民加强个人健康管理，制定健康公约和健康守则等行为规范，推进“健康知识进万家”</w:t>
      </w:r>
      <w:r>
        <w:rPr>
          <w:rFonts w:hint="eastAsia" w:ascii="Times New Roman" w:hAnsi="Times New Roman" w:cs="Times New Roman"/>
          <w:bCs/>
          <w:color w:val="auto"/>
          <w:spacing w:val="0"/>
          <w:kern w:val="2"/>
          <w:sz w:val="32"/>
          <w:szCs w:val="32"/>
          <w:highlight w:val="none"/>
          <w:u w:val="none" w:color="auto"/>
          <w:lang w:val="en-US" w:eastAsia="zh-CN" w:bidi="ar-SA"/>
        </w:rPr>
        <w:t>活动</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w:t>
      </w:r>
    </w:p>
    <w:p w14:paraId="48186C43">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28" w:name="_Toc8955"/>
      <w:bookmarkStart w:id="129" w:name="_Toc30929"/>
      <w:bookmarkStart w:id="130" w:name="_Toc655364926"/>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第四节 健全社会保障体系</w:t>
      </w:r>
      <w:bookmarkEnd w:id="128"/>
      <w:bookmarkEnd w:id="129"/>
      <w:bookmarkEnd w:id="130"/>
    </w:p>
    <w:p w14:paraId="699E6B2D">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积极回应社会发展需要，加快织密扎牢社会保障安全网，推动社会保障体系高质量、可</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持续</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发展，为人民群众提供更加充分、更加可靠、更加公平的社会保障。</w:t>
      </w:r>
    </w:p>
    <w:p w14:paraId="14D9D9D1">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健全社会保险机制。</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以中小微企业、农民工、灵活就业人员、新业态从业人员等为重点扩面对象，</w:t>
      </w:r>
      <w:r>
        <w:rPr>
          <w:rFonts w:hint="default" w:ascii="Times New Roman" w:hAnsi="Times New Roman" w:cs="Times New Roman"/>
          <w:bCs/>
          <w:color w:val="auto"/>
          <w:spacing w:val="0"/>
          <w:kern w:val="2"/>
          <w:sz w:val="32"/>
          <w:szCs w:val="32"/>
          <w:highlight w:val="none"/>
          <w:u w:val="none" w:color="auto"/>
          <w:lang w:val="en-US" w:eastAsia="zh-CN" w:bidi="ar-SA"/>
        </w:rPr>
        <w:t>继续加大养老、医疗参保覆盖面，持续推进全民参保计划。</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推广“人社</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银行”服务模式，将高频、低风险且标准化程度高的业务下沉至银行网点办理，形成“城区步行15分钟、乡村辐射5公里”服务闭环。落实医保待遇清单制度，严格执行国家和省、市统一的基本医保政策框架、支付范围和标准，促进制度公平统一。健全医保基金监管制度体系，建立医保智能监控系统，实现对定点医药机构医疗服务行为和费用的实时监控和智能审核。推进医保电子凭证全流程应用，实现就医购药“一码通办”。</w:t>
      </w:r>
      <w:r>
        <w:rPr>
          <w:rFonts w:hint="default" w:ascii="Times New Roman" w:hAnsi="Times New Roman" w:cs="Times New Roman"/>
          <w:bCs/>
          <w:color w:val="auto"/>
          <w:spacing w:val="0"/>
          <w:kern w:val="2"/>
          <w:sz w:val="32"/>
          <w:szCs w:val="32"/>
          <w:highlight w:val="none"/>
          <w:u w:val="none" w:color="auto"/>
          <w:lang w:val="en-US" w:eastAsia="zh-CN" w:bidi="ar-SA"/>
        </w:rPr>
        <w:t>落实</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大病保险和医疗救助制度，积极发展普惠型商业补充医疗保险。探索开展新就业形态职工伤害保障</w:t>
      </w:r>
      <w:r>
        <w:rPr>
          <w:rFonts w:hint="default" w:ascii="Times New Roman" w:hAnsi="Times New Roman" w:cs="Times New Roman"/>
          <w:bCs/>
          <w:color w:val="auto"/>
          <w:spacing w:val="0"/>
          <w:kern w:val="2"/>
          <w:sz w:val="32"/>
          <w:szCs w:val="32"/>
          <w:highlight w:val="none"/>
          <w:u w:val="none" w:color="auto"/>
          <w:lang w:val="en-US" w:eastAsia="zh-CN" w:bidi="ar-SA"/>
        </w:rPr>
        <w:t>制度，</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扩大工伤、失业、生育保险覆盖面。</w:t>
      </w:r>
    </w:p>
    <w:p w14:paraId="35EE2452">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筑牢兜底保障防线。</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完善常态化救助帮扶机制，加大临时救助力度，分层分类细化救助政策，实施“物质＋服务”双轨救助，推动救助从“保生存”向“促发展”转变。</w:t>
      </w:r>
      <w:r>
        <w:rPr>
          <w:rFonts w:hint="default" w:ascii="Times New Roman" w:hAnsi="Times New Roman" w:cs="Times New Roman"/>
          <w:color w:val="auto"/>
          <w:highlight w:val="none"/>
          <w:lang w:val="en-US" w:eastAsia="zh-CN"/>
        </w:rPr>
        <w:t>推进</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全面无障碍城市建设，健全残疾人关爱服务机制，加强残疾人分级分类保障，争取</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建成1处残疾人就业创业</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孵化</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基地</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保障妇女儿童合法权益，健全孤困儿童、留守儿童、流动儿童等困境儿童群体的关爱服务体系，利用寒暑假常态化开展“小荷学堂”“共青团伙伴计划”等青少年爱心托管志愿服务项目，打响“青春志愿行”服务品牌。完善军人、退役军人及其他优抚对象服务保障机制，健全和落实优抚政策，合理提高待遇标准。大力推广“互联网</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慈善”，策划“慈善文化节”等活动，开展慈善进机关、进企业、进学校、进社区，提高慈善服务精准性和适配性。</w:t>
      </w:r>
    </w:p>
    <w:p w14:paraId="2C61558E">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31" w:name="_Toc8314"/>
      <w:bookmarkStart w:id="132" w:name="_Toc911043746"/>
      <w:bookmarkStart w:id="133" w:name="_Toc28024"/>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 xml:space="preserve">第五节 </w:t>
      </w:r>
      <w:bookmarkEnd w:id="131"/>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促进人口高质量发展</w:t>
      </w:r>
      <w:bookmarkEnd w:id="132"/>
      <w:bookmarkEnd w:id="133"/>
    </w:p>
    <w:p w14:paraId="305D447D">
      <w:pPr>
        <w:shd w:val="clear"/>
        <w:spacing w:line="240" w:lineRule="auto"/>
        <w:ind w:firstLine="588"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11"/>
          <w:kern w:val="0"/>
          <w:sz w:val="32"/>
          <w:szCs w:val="32"/>
          <w:highlight w:val="none"/>
          <w:u w:val="none" w:color="auto"/>
          <w:shd w:val="clear" w:fill="FFFFFF"/>
          <w:lang w:val="en-US" w:eastAsia="zh-CN" w:bidi="ar"/>
        </w:rPr>
        <w:t>弘扬科学精神，广泛开展科学普及活动，提高全民科学素质</w:t>
      </w:r>
      <w:r>
        <w:rPr>
          <w:rStyle w:val="19"/>
          <w:rFonts w:hint="eastAsia" w:ascii="Times New Roman" w:hAnsi="Times New Roman" w:cs="Times New Roman"/>
          <w:b w:val="0"/>
          <w:bCs w:val="0"/>
          <w:i w:val="0"/>
          <w:iCs w:val="0"/>
          <w:caps w:val="0"/>
          <w:color w:val="auto"/>
          <w:spacing w:val="-11"/>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11"/>
          <w:kern w:val="0"/>
          <w:sz w:val="32"/>
          <w:szCs w:val="32"/>
          <w:highlight w:val="none"/>
          <w:u w:val="none" w:color="auto"/>
          <w:shd w:val="clear" w:fill="FFFFFF"/>
          <w:lang w:val="en-US" w:eastAsia="zh-CN" w:bidi="ar"/>
        </w:rPr>
        <w:t>积极应对老龄化、少子化和区域人口增减分化趋势，以人的全生命周期需求为导向，一体推进友好型社会建设，促进人口长期均衡发展</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w:t>
      </w:r>
    </w:p>
    <w:p w14:paraId="75C4E964">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构建生育支持政策体系。</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全面落实生育补贴及配套支持政策，推动灵活就业人员、农民工、新就业形态人员纳入生育保险，减轻生育负担。改善优生优育全程服务，提升婚前保健、孕前保健、产前筛查和产前诊断服务水平，扩大分娩镇痛试点。完善生育休假和待遇保障机制，加大对生育休假落实情况的监督力度，全面落实生育产假、陪产假、育儿假。完善普惠托育支持政策，加大对托育服务机构</w:t>
      </w:r>
      <w:r>
        <w:rPr>
          <w:rFonts w:hint="eastAsia" w:ascii="Times New Roman" w:hAnsi="Times New Roman" w:cs="Times New Roman"/>
          <w:bCs/>
          <w:color w:val="auto"/>
          <w:spacing w:val="0"/>
          <w:kern w:val="2"/>
          <w:sz w:val="32"/>
          <w:szCs w:val="32"/>
          <w:highlight w:val="none"/>
          <w:u w:val="none" w:color="auto"/>
          <w:lang w:val="en-US" w:eastAsia="zh-CN" w:bidi="ar-SA"/>
        </w:rPr>
        <w:t>的</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资金补助，支持社会力量参与提供优质托育服务，降低家庭养育的时间成本和经济成本。推动孕妇休息室、哺乳室等必要母婴服务设施全面布局，构建生育友好环境。</w:t>
      </w:r>
    </w:p>
    <w:p w14:paraId="7563721E">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优化儿童成长发展环境。</w:t>
      </w:r>
      <w:r>
        <w:rPr>
          <w:rFonts w:hint="eastAsia" w:ascii="Times New Roman" w:hAnsi="Times New Roman" w:cs="Times New Roman"/>
          <w:bCs/>
          <w:color w:val="auto"/>
          <w:spacing w:val="0"/>
          <w:kern w:val="2"/>
          <w:sz w:val="32"/>
          <w:szCs w:val="32"/>
          <w:highlight w:val="none"/>
          <w:u w:val="none" w:color="auto"/>
          <w:lang w:val="en-US" w:eastAsia="zh-CN" w:bidi="ar-SA"/>
        </w:rPr>
        <w:t>将</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“1米高度看城市”的儿童视角贯穿城市规划建设全过程，</w:t>
      </w:r>
      <w:r>
        <w:rPr>
          <w:rFonts w:hint="eastAsia" w:ascii="Times New Roman" w:hAnsi="Times New Roman" w:cs="Times New Roman"/>
          <w:bCs/>
          <w:color w:val="auto"/>
          <w:spacing w:val="0"/>
          <w:kern w:val="2"/>
          <w:sz w:val="32"/>
          <w:szCs w:val="32"/>
          <w:highlight w:val="none"/>
          <w:u w:val="none" w:color="auto"/>
          <w:lang w:val="en-US" w:eastAsia="zh-CN" w:bidi="ar-SA"/>
        </w:rPr>
        <w:t>推广镜湖公园等省儿童友好城市试点单元经验，</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对城市主次干道、街头转角、老旧小区、口袋公园、征收闲置地、围墙等小微公共空间进行“插花式”更新改造，增补儿童游憩活动场地，打造安全便利的儿童成长空间，全力营造关心关爱儿童成长的良好氛围。强化科普服务供给能力，</w:t>
      </w:r>
      <w:r>
        <w:rPr>
          <w:rFonts w:hint="default" w:ascii="Times New Roman" w:hAnsi="Times New Roman" w:cs="Times New Roman"/>
          <w:bCs/>
          <w:color w:val="auto"/>
          <w:spacing w:val="0"/>
          <w:kern w:val="2"/>
          <w:sz w:val="32"/>
          <w:szCs w:val="32"/>
          <w:highlight w:val="none"/>
          <w:u w:val="none" w:color="auto"/>
          <w:lang w:val="en-US" w:eastAsia="zh-CN" w:bidi="ar-SA"/>
        </w:rPr>
        <w:t>探索</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布局社区科普场馆，构建多元协同、互动体验型科普服务网络，拓展儿童科学探索实践空间。广泛利用传统节日、儿童友好季，常态化开展“陶你欢心 童心筑梦”等系列儿童友好活动，提高陶陶、欢欢儿童友好IP形象知名度。</w:t>
      </w:r>
    </w:p>
    <w:p w14:paraId="33B5BDEE">
      <w:pPr>
        <w:shd w:val="clear"/>
        <w:spacing w:line="240" w:lineRule="auto"/>
        <w:ind w:firstLine="632" w:firstLineChars="200"/>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r>
        <w:rPr>
          <w:rStyle w:val="19"/>
          <w:rFonts w:hint="default" w:ascii="Times New Roman" w:hAnsi="Times New Roman" w:eastAsia="仿宋_GB2312" w:cs="Times New Roman"/>
          <w:bCs/>
          <w:i w:val="0"/>
          <w:iCs w:val="0"/>
          <w:caps w:val="0"/>
          <w:smallCaps w:val="0"/>
          <w:color w:val="auto"/>
          <w:spacing w:val="0"/>
          <w:kern w:val="0"/>
          <w:sz w:val="32"/>
          <w:szCs w:val="32"/>
          <w:highlight w:val="none"/>
          <w:u w:val="none" w:color="auto"/>
          <w:shd w:val="clear" w:color="auto" w:fill="FFFFFF"/>
          <w:lang w:val="en-US" w:eastAsia="zh-CN"/>
        </w:rPr>
        <w:t>健全养老服务与社会保障。</w:t>
      </w:r>
      <w:r>
        <w:rPr>
          <w:rFonts w:hint="default" w:ascii="Times New Roman" w:hAnsi="Times New Roman" w:cs="Times New Roman"/>
          <w:b w:val="0"/>
          <w:bCs w:val="0"/>
          <w:color w:val="auto"/>
          <w:spacing w:val="0"/>
          <w:kern w:val="2"/>
          <w:sz w:val="32"/>
          <w:szCs w:val="32"/>
          <w:highlight w:val="none"/>
          <w:u w:val="none" w:color="auto"/>
          <w:lang w:val="en-US" w:eastAsia="zh-CN" w:bidi="ar-SA"/>
        </w:rPr>
        <w:t>规划</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建设区级综合养老服务管理平台，推动中心敬老院向镇街区域养老服务中心转型升级，完善村（社区）养老服务设施站点，加快健全覆盖城乡的三级养老服务网络。不断强化居家养老，鼓励社区和专业化服务机构等上门</w:t>
      </w:r>
      <w:r>
        <w:rPr>
          <w:rFonts w:hint="default" w:ascii="Times New Roman" w:hAnsi="Times New Roman" w:eastAsia="仿宋_GB2312" w:cs="Times New Roman"/>
          <w:b w:val="0"/>
          <w:bCs w:val="0"/>
          <w:color w:val="auto"/>
          <w:spacing w:val="-6"/>
          <w:kern w:val="2"/>
          <w:sz w:val="32"/>
          <w:szCs w:val="32"/>
          <w:highlight w:val="none"/>
          <w:u w:val="none" w:color="auto"/>
          <w:lang w:val="en-US" w:eastAsia="zh-CN" w:bidi="ar-SA"/>
        </w:rPr>
        <w:t>提供老年助餐、助浴、助洁、助行、助医、助急等多样化服务，更好满足居家照护服务需求。培育社区养老服务机构，发展嵌入式社区养老服务，探索“社区</w:t>
      </w:r>
      <w:r>
        <w:rPr>
          <w:rFonts w:hint="default" w:ascii="Times New Roman" w:hAnsi="Times New Roman" w:cs="Times New Roman"/>
          <w:b w:val="0"/>
          <w:bCs w:val="0"/>
          <w:color w:val="auto"/>
          <w:spacing w:val="-6"/>
          <w:kern w:val="2"/>
          <w:sz w:val="32"/>
          <w:szCs w:val="32"/>
          <w:highlight w:val="none"/>
          <w:u w:val="none" w:color="auto"/>
          <w:lang w:val="en-US" w:eastAsia="zh-CN" w:bidi="ar-SA"/>
        </w:rPr>
        <w:t>＋</w:t>
      </w:r>
      <w:r>
        <w:rPr>
          <w:rFonts w:hint="default" w:ascii="Times New Roman" w:hAnsi="Times New Roman" w:eastAsia="仿宋_GB2312" w:cs="Times New Roman"/>
          <w:b w:val="0"/>
          <w:bCs w:val="0"/>
          <w:color w:val="auto"/>
          <w:spacing w:val="-6"/>
          <w:kern w:val="2"/>
          <w:sz w:val="32"/>
          <w:szCs w:val="32"/>
          <w:highlight w:val="none"/>
          <w:u w:val="none" w:color="auto"/>
          <w:lang w:val="en-US" w:eastAsia="zh-CN" w:bidi="ar-SA"/>
        </w:rPr>
        <w:t>物业</w:t>
      </w:r>
      <w:r>
        <w:rPr>
          <w:rFonts w:hint="default" w:ascii="Times New Roman" w:hAnsi="Times New Roman" w:cs="Times New Roman"/>
          <w:b w:val="0"/>
          <w:bCs w:val="0"/>
          <w:color w:val="auto"/>
          <w:spacing w:val="-6"/>
          <w:kern w:val="2"/>
          <w:sz w:val="32"/>
          <w:szCs w:val="32"/>
          <w:highlight w:val="none"/>
          <w:u w:val="none" w:color="auto"/>
          <w:lang w:val="en-US" w:eastAsia="zh-CN" w:bidi="ar-SA"/>
        </w:rPr>
        <w:t>＋</w:t>
      </w:r>
      <w:r>
        <w:rPr>
          <w:rFonts w:hint="default" w:ascii="Times New Roman" w:hAnsi="Times New Roman" w:eastAsia="仿宋_GB2312" w:cs="Times New Roman"/>
          <w:b w:val="0"/>
          <w:bCs w:val="0"/>
          <w:color w:val="auto"/>
          <w:spacing w:val="-6"/>
          <w:kern w:val="2"/>
          <w:sz w:val="32"/>
          <w:szCs w:val="32"/>
          <w:highlight w:val="none"/>
          <w:u w:val="none" w:color="auto"/>
          <w:lang w:val="en-US" w:eastAsia="zh-CN" w:bidi="ar-SA"/>
        </w:rPr>
        <w:t>养老服务”</w:t>
      </w:r>
      <w:r>
        <w:rPr>
          <w:rFonts w:hint="default" w:ascii="Times New Roman" w:hAnsi="Times New Roman" w:cs="Times New Roman"/>
          <w:b w:val="0"/>
          <w:bCs w:val="0"/>
          <w:color w:val="auto"/>
          <w:spacing w:val="-6"/>
          <w:kern w:val="2"/>
          <w:sz w:val="32"/>
          <w:szCs w:val="32"/>
          <w:highlight w:val="none"/>
          <w:u w:val="none" w:color="auto"/>
          <w:lang w:val="en-US" w:eastAsia="zh-CN" w:bidi="ar-SA"/>
        </w:rPr>
        <w:t>模式</w:t>
      </w:r>
      <w:r>
        <w:rPr>
          <w:rFonts w:hint="default" w:ascii="Times New Roman" w:hAnsi="Times New Roman" w:eastAsia="仿宋_GB2312" w:cs="Times New Roman"/>
          <w:b w:val="0"/>
          <w:bCs w:val="0"/>
          <w:color w:val="auto"/>
          <w:spacing w:val="-6"/>
          <w:kern w:val="2"/>
          <w:sz w:val="32"/>
          <w:szCs w:val="32"/>
          <w:highlight w:val="none"/>
          <w:u w:val="none" w:color="auto"/>
          <w:lang w:val="en-US" w:eastAsia="zh-CN" w:bidi="ar-SA"/>
        </w:rPr>
        <w:t>，增强专业照护、日间照料、康复护理、上门服务</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能力。优化机构养老专业支撑作用，健全完善公办养老机构运营机制，鼓励社会力量新建或改扩建养老服务设施，扩大普惠养老服务，增加护理型床位供给。深化医养结合，推动养老服务机构和医疗卫生服务机构资源衔接、协同发展。建立老年教育协同发展机制，依托老年大学等，在养老服务机构和社区开展线上线下相结合的老年教育</w:t>
      </w:r>
      <w:r>
        <w:rPr>
          <w:rFonts w:hint="eastAsia" w:ascii="Times New Roman" w:hAnsi="Times New Roman" w:cs="Times New Roman"/>
          <w:b w:val="0"/>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积极发展银发经济，释放养老消费潜力。</w:t>
      </w:r>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br w:type="page"/>
      </w:r>
    </w:p>
    <w:p w14:paraId="55A9CDC4">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134" w:name="_Toc942889561"/>
      <w:bookmarkStart w:id="135" w:name="_Toc28350"/>
      <w:bookmarkStart w:id="136" w:name="_Toc20713"/>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第十二章 完善社会治理体系 建设更高水平平安社会</w:t>
      </w:r>
      <w:bookmarkEnd w:id="134"/>
      <w:bookmarkEnd w:id="135"/>
      <w:bookmarkEnd w:id="136"/>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ab/>
      </w:r>
    </w:p>
    <w:p w14:paraId="757CAD2A">
      <w:pPr>
        <w:shd w:val="clear"/>
        <w:spacing w:line="240" w:lineRule="auto"/>
        <w:ind w:firstLine="632" w:firstLineChars="200"/>
        <w:rPr>
          <w:rFonts w:hint="default" w:ascii="Times New Roman" w:hAnsi="Times New Roman" w:eastAsia="仿宋_GB2312" w:cs="Times New Roman"/>
          <w:color w:val="auto"/>
          <w:spacing w:val="0"/>
          <w:sz w:val="32"/>
          <w:highlight w:val="none"/>
          <w:u w:val="none" w:color="auto"/>
          <w:lang w:eastAsia="zh-CN"/>
        </w:rPr>
      </w:pPr>
      <w:r>
        <w:rPr>
          <w:rFonts w:hint="default" w:ascii="Times New Roman" w:hAnsi="Times New Roman" w:eastAsia="仿宋_GB2312" w:cs="Times New Roman"/>
          <w:bCs/>
          <w:color w:val="auto"/>
          <w:spacing w:val="0"/>
          <w:kern w:val="2"/>
          <w:sz w:val="32"/>
          <w:szCs w:val="32"/>
          <w:highlight w:val="none"/>
          <w:u w:val="none" w:color="auto"/>
          <w:lang w:val="en-US" w:eastAsia="zh-CN" w:bidi="ar-SA"/>
        </w:rPr>
        <w:t>坚定不移贯彻总体国家安全观，健全共建共治共享的社会治理制度，提升社会治理社会化、法治化、智能化、专业化水平，有效防范化解重大风险，营造有机、协调、良性的社会运行生</w:t>
      </w:r>
      <w:r>
        <w:rPr>
          <w:rFonts w:hint="default" w:ascii="Times New Roman" w:hAnsi="Times New Roman" w:eastAsia="仿宋_GB2312" w:cs="Times New Roman"/>
          <w:color w:val="auto"/>
          <w:spacing w:val="0"/>
          <w:sz w:val="32"/>
          <w:highlight w:val="none"/>
          <w:u w:val="none" w:color="auto"/>
          <w:lang w:eastAsia="zh-CN"/>
        </w:rPr>
        <w:t>态。</w:t>
      </w:r>
    </w:p>
    <w:p w14:paraId="7F138FE7">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37" w:name="_Toc287512923"/>
      <w:bookmarkStart w:id="138" w:name="_Toc12493"/>
      <w:bookmarkStart w:id="139" w:name="_Toc6326"/>
      <w:bookmarkStart w:id="140" w:name="_Toc14314"/>
      <w:bookmarkStart w:id="141" w:name="_Toc8142"/>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全面提升基层治理能力</w:t>
      </w:r>
      <w:bookmarkEnd w:id="137"/>
      <w:bookmarkEnd w:id="138"/>
      <w:bookmarkEnd w:id="139"/>
      <w:bookmarkEnd w:id="140"/>
    </w:p>
    <w:p w14:paraId="7E619C18">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坚持党建引领与多元共治相结合，健全权责清晰、运转高效的基层治理体系，全面提升矛盾纠纷预防化解能力，推动治理重心下移、资源下沉，夯实社会和谐</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稳定</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的根基。</w:t>
      </w:r>
    </w:p>
    <w:p w14:paraId="2EE5D69A">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健全基层治理体系。</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充分发挥党的政治优势和组织优势，坚持把党的领导贯穿基层治理全过程、各方面。抓好新经济组织、新社会组织、新就业群体党的建设，推动党的组织和党的工作全覆盖，增强党在新兴领域的号召力</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凝聚力</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影响力。深入推进新兴领域党建“双融双创”行动，推动行业协会</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商会改革发展</w:t>
      </w:r>
      <w:r>
        <w:rPr>
          <w:rFonts w:hint="default" w:ascii="Times New Roman" w:hAnsi="Times New Roman" w:cs="Times New Roman"/>
          <w:bCs/>
          <w:color w:val="auto"/>
          <w:spacing w:val="0"/>
          <w:kern w:val="2"/>
          <w:sz w:val="32"/>
          <w:szCs w:val="32"/>
          <w:highlight w:val="none"/>
          <w:u w:val="none" w:color="auto"/>
          <w:lang w:val="en-US" w:eastAsia="zh-CN" w:bidi="ar-SA"/>
        </w:rPr>
        <w:t>。全面实施乡镇（街道）履行职责事项清单，</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巩固提升省级基层治理创新实验区经验做法，激发村规民约活力，增添基层治理动能。发挥兴菏惠民联盟、“菏力共治”派驻第一书记、志愿服务组织等力量，赋能基层治理，不断扩大</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定</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规</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陶</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约</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村民自治品牌影响力。深化“</w:t>
      </w:r>
      <w:r>
        <w:rPr>
          <w:rFonts w:hint="eastAsia"/>
          <w:color w:val="auto"/>
          <w:lang w:val="en-US" w:eastAsia="zh-CN"/>
        </w:rPr>
        <w:t>街乡</w:t>
      </w:r>
      <w:r>
        <w:rPr>
          <w:rFonts w:hint="default"/>
          <w:color w:val="auto"/>
          <w:lang w:val="en-US" w:eastAsia="zh-CN"/>
        </w:rPr>
        <w:t>吹哨</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、部门报到”工作机制，加强网格化服务管理标准化建设，推动治理重心和配套资源向</w:t>
      </w:r>
      <w:r>
        <w:rPr>
          <w:rFonts w:hint="eastAsia" w:ascii="Times New Roman" w:hAnsi="Times New Roman" w:cs="Times New Roman"/>
          <w:bCs/>
          <w:color w:val="auto"/>
          <w:spacing w:val="0"/>
          <w:kern w:val="2"/>
          <w:sz w:val="32"/>
          <w:szCs w:val="32"/>
          <w:highlight w:val="none"/>
          <w:u w:val="none" w:color="auto"/>
          <w:lang w:val="en-US" w:eastAsia="zh-CN" w:bidi="ar-SA"/>
        </w:rPr>
        <w:t>乡镇（街道）</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w:t>
      </w:r>
      <w:r>
        <w:rPr>
          <w:rFonts w:hint="eastAsia" w:ascii="Times New Roman" w:hAnsi="Times New Roman" w:cs="Times New Roman"/>
          <w:bCs/>
          <w:color w:val="auto"/>
          <w:spacing w:val="0"/>
          <w:kern w:val="2"/>
          <w:sz w:val="32"/>
          <w:szCs w:val="32"/>
          <w:highlight w:val="none"/>
          <w:u w:val="none" w:color="auto"/>
          <w:lang w:val="en-US" w:eastAsia="zh-CN" w:bidi="ar-SA"/>
        </w:rPr>
        <w:t>村（社区）</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下沉，提升网格管理规范化</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精细化水平。强化多元共治，塑强“幸福陶里”城乡基层治理品牌。强化社区党组织分类管理，建立社区居民委员会、小区业主委员会、物业服务企业协调运行机制，构建各方协同联动、有机融合的居民小区服务管理体系。深化“双融五联”为民服务机制，联动养老托育、医疗卫生等服务内容，推动治理从“有形覆盖”转为“有效覆盖”。积极开展数治升级，建设基层治理一体化信息平台，实现数据共享和业务协同。</w:t>
      </w:r>
    </w:p>
    <w:p w14:paraId="2F8F8225">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加强矛盾化解处置。</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坚持和发展新时代“枫桥经验”，完善矛盾纠纷源头预防、排查预警、多元化解机制，提升矛盾纠纷预防化解法治化水平。抓好综治中心规范化建设，健全集调解、非诉裁决、第三方证据出具和公共法律服务功能于一体的非诉纠纷解决工作体系，完善调解优先、分层递进、诉非衔接的非诉讼解决格局。深化重点人群服务管理，围绕青少年违法犯罪、刑释人员安置帮教、重精患者管理救助，统筹推进教育改造、社区矫正、安置帮教、纠纷化解、法治宣传，</w:t>
      </w:r>
      <w:r>
        <w:rPr>
          <w:rFonts w:hint="default" w:ascii="Times New Roman" w:hAnsi="Times New Roman" w:cs="Times New Roman"/>
          <w:bCs/>
          <w:color w:val="auto"/>
          <w:spacing w:val="0"/>
          <w:kern w:val="2"/>
          <w:sz w:val="32"/>
          <w:szCs w:val="32"/>
          <w:highlight w:val="none"/>
          <w:u w:val="none" w:color="auto"/>
          <w:lang w:val="en-US" w:eastAsia="zh-CN" w:bidi="ar-SA"/>
        </w:rPr>
        <w:t>加强</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经常性社会心理服务疏导和预警干预。加强和改进人民信访工作，强化“12345”市民热线等公共服务平台功能，畅通和规范群众诉求表达、利益协调、权益保障通道。</w:t>
      </w:r>
    </w:p>
    <w:p w14:paraId="5827C1A5">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42" w:name="_Toc671168501"/>
      <w:bookmarkStart w:id="143" w:name="_Toc30040"/>
      <w:bookmarkStart w:id="144" w:name="_Toc14781"/>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第二节 加强民主法治保障</w:t>
      </w:r>
      <w:bookmarkEnd w:id="141"/>
      <w:bookmarkEnd w:id="142"/>
      <w:bookmarkEnd w:id="143"/>
      <w:bookmarkEnd w:id="144"/>
    </w:p>
    <w:p w14:paraId="73EBE7D3">
      <w:pPr>
        <w:shd w:val="clear"/>
        <w:spacing w:line="240" w:lineRule="auto"/>
        <w:ind w:firstLine="632" w:firstLineChars="200"/>
        <w:rPr>
          <w:rFonts w:hint="default" w:ascii="Times New Roman" w:hAnsi="Times New Roman" w:eastAsia="仿宋_GB2312" w:cs="Times New Roman"/>
          <w:bCs/>
          <w:i w:val="0"/>
          <w:iCs w:val="0"/>
          <w:caps w:val="0"/>
          <w:color w:val="auto"/>
          <w:spacing w:val="0"/>
          <w:kern w:val="2"/>
          <w:sz w:val="32"/>
          <w:szCs w:val="32"/>
          <w:highlight w:val="none"/>
          <w:u w:val="none" w:color="auto"/>
          <w:shd w:val="clear"/>
          <w:lang w:val="en-US" w:eastAsia="zh-CN" w:bidi="ar-SA"/>
        </w:rPr>
      </w:pPr>
      <w:r>
        <w:rPr>
          <w:rFonts w:hint="default" w:ascii="Times New Roman" w:hAnsi="Times New Roman" w:eastAsia="仿宋_GB2312" w:cs="Times New Roman"/>
          <w:bCs/>
          <w:i w:val="0"/>
          <w:iCs w:val="0"/>
          <w:caps w:val="0"/>
          <w:color w:val="auto"/>
          <w:spacing w:val="0"/>
          <w:kern w:val="2"/>
          <w:sz w:val="32"/>
          <w:szCs w:val="32"/>
          <w:highlight w:val="none"/>
          <w:u w:val="none" w:color="auto"/>
          <w:shd w:val="clear"/>
          <w:lang w:val="en-US" w:eastAsia="zh-CN" w:bidi="ar-SA"/>
        </w:rPr>
        <w:t>全面推进严格执法、公正司法、全民守法，持续提升法治定陶建设水平</w:t>
      </w:r>
      <w:r>
        <w:rPr>
          <w:rFonts w:hint="default" w:ascii="Times New Roman" w:hAnsi="Times New Roman" w:cs="Times New Roman"/>
          <w:bCs/>
          <w:i w:val="0"/>
          <w:iCs w:val="0"/>
          <w:caps w:val="0"/>
          <w:color w:val="auto"/>
          <w:spacing w:val="0"/>
          <w:kern w:val="2"/>
          <w:sz w:val="32"/>
          <w:szCs w:val="32"/>
          <w:highlight w:val="none"/>
          <w:u w:val="none" w:color="auto"/>
          <w:shd w:val="clear"/>
          <w:lang w:val="en-US" w:eastAsia="zh-CN" w:bidi="ar-SA"/>
        </w:rPr>
        <w:t>，</w:t>
      </w:r>
      <w:r>
        <w:rPr>
          <w:rFonts w:hint="default" w:ascii="Times New Roman" w:hAnsi="Times New Roman" w:eastAsia="仿宋_GB2312" w:cs="Times New Roman"/>
          <w:bCs/>
          <w:i w:val="0"/>
          <w:iCs w:val="0"/>
          <w:caps w:val="0"/>
          <w:color w:val="auto"/>
          <w:spacing w:val="0"/>
          <w:kern w:val="2"/>
          <w:sz w:val="32"/>
          <w:szCs w:val="32"/>
          <w:highlight w:val="none"/>
          <w:u w:val="none" w:color="auto"/>
          <w:shd w:val="clear"/>
          <w:lang w:val="en-US" w:eastAsia="zh-CN" w:bidi="ar-SA"/>
        </w:rPr>
        <w:t>为全区经济社会高质量发展、人民</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安居乐业</w:t>
      </w:r>
      <w:r>
        <w:rPr>
          <w:rFonts w:hint="default" w:ascii="Times New Roman" w:hAnsi="Times New Roman" w:eastAsia="仿宋_GB2312" w:cs="Times New Roman"/>
          <w:bCs/>
          <w:i w:val="0"/>
          <w:iCs w:val="0"/>
          <w:caps w:val="0"/>
          <w:color w:val="auto"/>
          <w:spacing w:val="0"/>
          <w:kern w:val="2"/>
          <w:sz w:val="32"/>
          <w:szCs w:val="32"/>
          <w:highlight w:val="none"/>
          <w:u w:val="none" w:color="auto"/>
          <w:shd w:val="clear"/>
          <w:lang w:val="en-US" w:eastAsia="zh-CN" w:bidi="ar-SA"/>
        </w:rPr>
        <w:t>提供坚强有力的制度保障和稳定和谐的治理环境。</w:t>
      </w:r>
    </w:p>
    <w:p w14:paraId="31B7F2DC">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坚持和发展全过程人民民主。</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坚持和完善人民代表大会制度，依托代表小组、联络站、基层立法联系点等人大代表履职平台，广纳民意、汇集民智，使决策更加接地气、顺民意。深化政务公开，密切同人大代表的联系，主动向代表公开相关工作情况，依法保证代表的知情权、知政权、参与权、监督权。认真执行区人大及其常委会的决议决定，办理好人大代表议案建议，推动经济社会发展重大问题和涉及群众切身利益问题的解决。</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完善协商民主体系，更好发挥人民政协专门协商机构作用，深化“邀你商‘陶’”协商品牌建设，建强用好委员之家、委员议事亭（廊）等议政平台，健全协商成果采纳、落实、反馈机制，加强各种协商渠道协同配合，积极参与基层社会治理，为</w:t>
      </w:r>
      <w:r>
        <w:rPr>
          <w:rFonts w:hint="eastAsia" w:ascii="Times New Roman" w:hAnsi="Times New Roman" w:cs="Times New Roman"/>
          <w:bCs/>
          <w:color w:val="auto"/>
          <w:spacing w:val="0"/>
          <w:kern w:val="2"/>
          <w:sz w:val="32"/>
          <w:szCs w:val="32"/>
          <w:highlight w:val="none"/>
          <w:u w:val="none" w:color="auto"/>
          <w:lang w:val="en-US" w:eastAsia="zh-CN" w:bidi="ar-SA"/>
        </w:rPr>
        <w:t>全区</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高质量发展广泛凝聚人心、凝聚共识、凝聚智慧、凝聚力量。发挥好工会、共青团、妇联、科协等群团组织联系服务群众的桥梁纽带作用。通过网络平台、社区议事厅、民主恳谈会等形式拓宽民主渠道，广泛听取人民群众的意见建议。</w:t>
      </w:r>
    </w:p>
    <w:p w14:paraId="7FA86024">
      <w:pPr>
        <w:shd w:val="clear"/>
        <w:spacing w:line="240" w:lineRule="auto"/>
        <w:ind w:firstLine="632" w:firstLineChars="200"/>
        <w:rPr>
          <w:rStyle w:val="18"/>
          <w:rFonts w:hint="default" w:ascii="Times New Roman" w:hAnsi="Times New Roman" w:eastAsia="仿宋_GB2312" w:cs="Times New Roman"/>
          <w:b w:val="0"/>
          <w:bCs/>
          <w:i w:val="0"/>
          <w:iCs w:val="0"/>
          <w:caps w:val="0"/>
          <w:color w:val="auto"/>
          <w:spacing w:val="0"/>
          <w:sz w:val="32"/>
          <w:szCs w:val="32"/>
          <w:highlight w:val="none"/>
          <w:u w:val="none" w:color="auto"/>
          <w:shd w:val="clear" w:fill="FFFFFF"/>
          <w:lang w:val="en-US" w:eastAsia="zh-CN"/>
        </w:rPr>
      </w:pPr>
      <w:bookmarkStart w:id="145" w:name="_Toc29466"/>
      <w:r>
        <w:rPr>
          <w:rFonts w:hint="default" w:ascii="Times New Roman" w:hAnsi="Times New Roman" w:cs="Times New Roman"/>
          <w:b/>
          <w:bCs w:val="0"/>
          <w:i w:val="0"/>
          <w:iCs w:val="0"/>
          <w:color w:val="auto"/>
          <w:kern w:val="2"/>
          <w:sz w:val="32"/>
          <w:szCs w:val="32"/>
          <w:highlight w:val="none"/>
          <w:u w:val="none" w:color="auto"/>
          <w:lang w:val="en-US" w:eastAsia="zh-CN" w:bidi="ar-SA"/>
        </w:rPr>
        <w:t>扎实推进法治定陶建设</w:t>
      </w:r>
      <w:r>
        <w:rPr>
          <w:rFonts w:hint="default" w:ascii="Times New Roman" w:hAnsi="Times New Roman" w:cs="Times New Roman"/>
          <w:b w:val="0"/>
          <w:bCs/>
          <w:i w:val="0"/>
          <w:iCs w:val="0"/>
          <w:color w:val="auto"/>
          <w:kern w:val="2"/>
          <w:sz w:val="32"/>
          <w:szCs w:val="32"/>
          <w:highlight w:val="none"/>
          <w:u w:val="none" w:color="auto"/>
          <w:lang w:val="en-US" w:eastAsia="zh-CN" w:bidi="ar-SA"/>
        </w:rPr>
        <w:t>。</w:t>
      </w:r>
      <w:r>
        <w:rPr>
          <w:rFonts w:hint="default" w:ascii="Times New Roman" w:hAnsi="Times New Roman" w:cs="Times New Roman"/>
          <w:bCs/>
          <w:i w:val="0"/>
          <w:iCs w:val="0"/>
          <w:color w:val="auto"/>
          <w:kern w:val="2"/>
          <w:sz w:val="32"/>
          <w:szCs w:val="32"/>
          <w:highlight w:val="none"/>
          <w:u w:val="none" w:color="auto"/>
          <w:lang w:val="en-US" w:eastAsia="zh-CN" w:bidi="ar-SA"/>
        </w:rPr>
        <w:t>深入学习贯彻习近平法治思想，维护社会公平正义，建设更高水平的法治定陶。全面落实规范性文件备案审查，完善维护国家法治统一制度机制，保障宪法和法律正确实施。加强执法队伍建设，规范执法程序，全面落实行政执法“三项制度”，强化执法监督。深入推进司法体制改革，落实司法责任制</w:t>
      </w:r>
      <w:r>
        <w:rPr>
          <w:rFonts w:hint="default" w:ascii="Times New Roman" w:hAnsi="Times New Roman" w:cs="Times New Roman"/>
          <w:bCs/>
          <w:i w:val="0"/>
          <w:iCs w:val="0"/>
          <w:color w:val="auto"/>
          <w:kern w:val="2"/>
          <w:sz w:val="32"/>
          <w:szCs w:val="32"/>
          <w:highlight w:val="none"/>
          <w:u w:val="none" w:color="auto"/>
          <w:shd w:val="clear"/>
          <w:lang w:val="en-US" w:eastAsia="zh-CN" w:bidi="ar-SA"/>
        </w:rPr>
        <w:t>，确保司法公正高效权威</w:t>
      </w:r>
      <w:r>
        <w:rPr>
          <w:rFonts w:hint="default" w:ascii="Times New Roman" w:hAnsi="Times New Roman" w:cs="Times New Roman"/>
          <w:bCs/>
          <w:i w:val="0"/>
          <w:iCs w:val="0"/>
          <w:color w:val="auto"/>
          <w:kern w:val="2"/>
          <w:sz w:val="32"/>
          <w:szCs w:val="32"/>
          <w:highlight w:val="none"/>
          <w:u w:val="none" w:color="auto"/>
          <w:lang w:val="en-US" w:eastAsia="zh-CN" w:bidi="ar-SA"/>
        </w:rPr>
        <w:t>。加快推进公共法律服务体系建设，推动律师（含公职律师）、公证、法律服务工作者等法律服务资源融合均衡布局，提升法律服务质效，引导法律服务融入基层治理，提升“法润陶城”“陶小援”“温情公证”等法律品牌服务质量。加强法治人才队伍建设，提升公职律师、专职律师和法律顾问等法治人才</w:t>
      </w:r>
      <w:r>
        <w:rPr>
          <w:rFonts w:hint="eastAsia" w:ascii="Times New Roman" w:hAnsi="Times New Roman" w:cs="Times New Roman"/>
          <w:bCs/>
          <w:i w:val="0"/>
          <w:iCs w:val="0"/>
          <w:color w:val="auto"/>
          <w:kern w:val="2"/>
          <w:sz w:val="32"/>
          <w:szCs w:val="32"/>
          <w:highlight w:val="none"/>
          <w:u w:val="none" w:color="auto"/>
          <w:lang w:val="en-US" w:eastAsia="zh-CN" w:bidi="ar-SA"/>
        </w:rPr>
        <w:t>力量</w:t>
      </w:r>
      <w:r>
        <w:rPr>
          <w:rFonts w:hint="default" w:ascii="Times New Roman" w:hAnsi="Times New Roman" w:cs="Times New Roman"/>
          <w:bCs/>
          <w:i w:val="0"/>
          <w:iCs w:val="0"/>
          <w:color w:val="auto"/>
          <w:kern w:val="2"/>
          <w:sz w:val="32"/>
          <w:szCs w:val="32"/>
          <w:highlight w:val="none"/>
          <w:u w:val="none" w:color="auto"/>
          <w:lang w:val="en-US" w:eastAsia="zh-CN" w:bidi="ar-SA"/>
        </w:rPr>
        <w:t>。有序推进“九五”普法，贯彻落实《中华人民共和国法治宣传教育法》，推进“谁执法谁普法”责任制，深入开展法治宣传教育，大力弘扬社会主义法治精神。</w:t>
      </w:r>
      <w:bookmarkEnd w:id="145"/>
      <w:bookmarkStart w:id="146" w:name="_Toc16797"/>
      <w:bookmarkStart w:id="147" w:name="_Toc24105"/>
      <w:bookmarkStart w:id="148" w:name="_Toc12904"/>
      <w:bookmarkStart w:id="149" w:name="_Toc28807"/>
    </w:p>
    <w:p w14:paraId="09908C0E">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50" w:name="_Toc767689590"/>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第三节 提升城市安全运行水平</w:t>
      </w:r>
      <w:bookmarkEnd w:id="146"/>
      <w:bookmarkEnd w:id="147"/>
      <w:bookmarkEnd w:id="148"/>
      <w:bookmarkEnd w:id="149"/>
      <w:bookmarkEnd w:id="150"/>
    </w:p>
    <w:p w14:paraId="15377767">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统筹推进政治安全、经济安全、公共安全能力建设，系统构建全域联动、立体高效的城市安全防护体系，全面提升风险防控与应急处突能力，建设更高水平的平安城市。</w:t>
      </w:r>
    </w:p>
    <w:p w14:paraId="19A9A242">
      <w:pPr>
        <w:shd w:val="clear"/>
        <w:spacing w:line="240" w:lineRule="auto"/>
        <w:ind w:firstLine="632" w:firstLineChars="200"/>
        <w:rPr>
          <w:rStyle w:val="19"/>
          <w:rFonts w:hint="default" w:ascii="Times New Roman" w:hAnsi="Times New Roman" w:eastAsia="仿宋_GB2312" w:cs="Times New Roman"/>
          <w:b w:val="0"/>
          <w:bCs w:val="0"/>
          <w:color w:val="auto"/>
          <w:spacing w:val="0"/>
          <w:kern w:val="0"/>
          <w:sz w:val="32"/>
          <w:szCs w:val="32"/>
          <w:highlight w:val="none"/>
          <w:u w:val="none" w:color="auto"/>
          <w:shd w:val="clear" w:color="auto" w:fill="FFFFFF"/>
          <w:lang w:val="en-US" w:eastAsia="zh-CN" w:bidi="ar"/>
        </w:rPr>
      </w:pPr>
      <w:r>
        <w:rPr>
          <w:rStyle w:val="19"/>
          <w:rFonts w:hint="default" w:ascii="Times New Roman" w:hAnsi="Times New Roman" w:eastAsia="仿宋_GB2312" w:cs="Times New Roman"/>
          <w:b/>
          <w:bCs/>
          <w:color w:val="auto"/>
          <w:spacing w:val="0"/>
          <w:kern w:val="0"/>
          <w:sz w:val="32"/>
          <w:szCs w:val="32"/>
          <w:highlight w:val="none"/>
          <w:u w:val="none" w:color="auto"/>
          <w:shd w:val="clear" w:color="auto" w:fill="FFFFFF"/>
          <w:lang w:val="en-US" w:eastAsia="zh-CN" w:bidi="ar"/>
        </w:rPr>
        <w:t>全面提升国防动员能力</w:t>
      </w:r>
      <w:r>
        <w:rPr>
          <w:rStyle w:val="19"/>
          <w:rFonts w:hint="default" w:ascii="Times New Roman" w:hAnsi="Times New Roman" w:cs="Times New Roman"/>
          <w:b/>
          <w:bCs/>
          <w:color w:val="auto"/>
          <w:spacing w:val="0"/>
          <w:kern w:val="0"/>
          <w:sz w:val="32"/>
          <w:szCs w:val="32"/>
          <w:highlight w:val="none"/>
          <w:u w:val="none" w:color="auto"/>
          <w:shd w:val="clear" w:color="auto" w:fill="FFFFFF"/>
          <w:lang w:val="en-US" w:eastAsia="zh-CN" w:bidi="ar"/>
        </w:rPr>
        <w:t>。</w:t>
      </w:r>
      <w:r>
        <w:rPr>
          <w:rStyle w:val="19"/>
          <w:rFonts w:hint="default" w:ascii="Times New Roman" w:hAnsi="Times New Roman" w:eastAsia="仿宋_GB2312" w:cs="Times New Roman"/>
          <w:b w:val="0"/>
          <w:bCs w:val="0"/>
          <w:color w:val="auto"/>
          <w:spacing w:val="0"/>
          <w:kern w:val="0"/>
          <w:sz w:val="32"/>
          <w:szCs w:val="32"/>
          <w:highlight w:val="none"/>
          <w:u w:val="none" w:color="auto"/>
          <w:shd w:val="clear" w:color="auto" w:fill="FFFFFF"/>
          <w:lang w:val="en-US" w:eastAsia="zh-CN" w:bidi="ar"/>
        </w:rPr>
        <w:t>深入贯彻习近平强军思想，将国防动员建设深度融入经济社会发展全局，构建平战一体、全域联动的现代化动员体系。优化兵员征集质量与后备力量结构，推进基层武装部达标创优，建强专武干部和民兵“拳头”力量；深化双拥共建，落实优抚安置政策与军人优先待遇，强化军事设施保护与涉军维权服务，厚植军政军民团结根基，全面提升应战应急、援战保战综合能力，为巩固一体化国家战略体系和能力筑牢支撑。</w:t>
      </w:r>
    </w:p>
    <w:p w14:paraId="2BC5E6EC">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color w:val="auto"/>
          <w:spacing w:val="0"/>
          <w:kern w:val="0"/>
          <w:sz w:val="32"/>
          <w:szCs w:val="32"/>
          <w:highlight w:val="none"/>
          <w:u w:val="none" w:color="auto"/>
          <w:shd w:val="clear" w:color="auto" w:fill="FFFFFF"/>
          <w:lang w:val="en-US" w:eastAsia="zh-CN" w:bidi="ar"/>
        </w:rPr>
        <w:t>坚决捍卫政治安全。</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坚持以政治安全为根本，加强维护政治安全专门体系、专门力量、专门能力建设，高效运行维护政治安全工作协调机制。加强涉政风险排查处置，坚决防范抵御境内外敌对势力渗透破坏活动。深化反邪教斗争，依法严厉打击邪教组织活动</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严防发生涉邪教滋扰和极端案事件。深化反恐怖斗争，牢牢守住不发生暴恐案件底线。完善政治、经济、文化、金融、科技等重点领域安全保障体系，加强关键信息基础设施安全防护。加强情报信息收集研判和风险防控能力建设，提高防范和抵御政治安全风险能力，守住政治安全底线。深入开展国家安全宣传教育，增强全民国家安全意识，</w:t>
      </w:r>
      <w:r>
        <w:rPr>
          <w:rFonts w:hint="default" w:ascii="Times New Roman" w:hAnsi="Times New Roman" w:eastAsia="仿宋_GB2312" w:cs="Times New Roman"/>
          <w:bCs/>
          <w:color w:val="auto"/>
          <w:spacing w:val="0"/>
          <w:kern w:val="2"/>
          <w:sz w:val="32"/>
          <w:szCs w:val="32"/>
          <w:highlight w:val="none"/>
          <w:u w:val="none" w:color="auto"/>
          <w:shd w:val="clear"/>
          <w:lang w:val="en-US" w:eastAsia="zh-CN" w:bidi="ar-SA"/>
        </w:rPr>
        <w:t>巩固国家安全人民防线</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w:t>
      </w:r>
    </w:p>
    <w:p w14:paraId="6A62CFFF">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加强经济安全防控。</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加强经济安全风险预警、防控机制和能力建设，确保重要产业、基础设施、战略资源、重大科技等关键领域安全可控，建立</w:t>
      </w:r>
      <w:r>
        <w:rPr>
          <w:rFonts w:hint="default" w:ascii="Times New Roman" w:hAnsi="Times New Roman" w:eastAsia="仿宋_GB2312" w:cs="Times New Roman"/>
          <w:bCs/>
          <w:color w:val="auto"/>
          <w:spacing w:val="0"/>
          <w:kern w:val="2"/>
          <w:sz w:val="32"/>
          <w:szCs w:val="32"/>
          <w:highlight w:val="none"/>
          <w:u w:val="none" w:color="auto"/>
          <w:shd w:val="clear"/>
          <w:lang w:val="en-US" w:eastAsia="zh-CN" w:bidi="ar-SA"/>
        </w:rPr>
        <w:t>产业链</w:t>
      </w:r>
      <w:r>
        <w:rPr>
          <w:rFonts w:hint="eastAsia" w:ascii="Times New Roman" w:hAnsi="Times New Roman" w:cs="Times New Roman"/>
          <w:bCs/>
          <w:color w:val="auto"/>
          <w:spacing w:val="0"/>
          <w:kern w:val="2"/>
          <w:sz w:val="32"/>
          <w:szCs w:val="32"/>
          <w:highlight w:val="none"/>
          <w:u w:val="none" w:color="auto"/>
          <w:shd w:val="clear"/>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shd w:val="clear"/>
          <w:lang w:val="en-US" w:eastAsia="zh-CN" w:bidi="ar-SA"/>
        </w:rPr>
        <w:t>供应链安全风险评估</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、应对机制。完善粮食和重要农产品、战略物资保障体系，维护水利、电力、供水、油气、交通、通信、网络等重要基础设施安全。常态化开展重点领域金融风险摸排，加大金融风险化解处置力度</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坚决遏制新增隐性债务</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稳妥推动辖区金融机构</w:t>
      </w:r>
      <w:r>
        <w:rPr>
          <w:rFonts w:hint="default" w:ascii="Times New Roman" w:hAnsi="Times New Roman" w:cs="Times New Roman"/>
          <w:bCs/>
          <w:color w:val="auto"/>
          <w:spacing w:val="0"/>
          <w:kern w:val="2"/>
          <w:sz w:val="32"/>
          <w:szCs w:val="32"/>
          <w:highlight w:val="none"/>
          <w:u w:val="none" w:color="auto"/>
          <w:shd w:val="clear"/>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shd w:val="clear"/>
          <w:lang w:val="en-US" w:eastAsia="zh-CN" w:bidi="ar-SA"/>
        </w:rPr>
        <w:t>特别是农商行</w:t>
      </w:r>
      <w:r>
        <w:rPr>
          <w:rFonts w:hint="default" w:ascii="Times New Roman" w:hAnsi="Times New Roman" w:cs="Times New Roman"/>
          <w:bCs/>
          <w:color w:val="auto"/>
          <w:spacing w:val="0"/>
          <w:kern w:val="2"/>
          <w:sz w:val="32"/>
          <w:szCs w:val="32"/>
          <w:highlight w:val="none"/>
          <w:u w:val="none" w:color="auto"/>
          <w:shd w:val="clear"/>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改革化险工作。持续开展防范非法金融活动宣传工作</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严厉打击各类非法集资、高利贷、金融欺诈等非法行为。</w:t>
      </w:r>
    </w:p>
    <w:p w14:paraId="29B9F372">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全力保障公共安全。</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落实安全生产责任制，完善安全风险分级管控和隐患排查治理双重预防机制。推动农产品质量安全追溯体系建设，强化食品药品安全监管，保障人民群众饮食用药安全。强化社会治安防控体系示范县区创建，推进全区视频监控资源集约化建设、规范化联网、共享化应用，常态化开展扫黑除恶斗争，深入开展“昆仑”“鲁剑”“歼击”“猎狐”等专项行动，严厉打击治理电信诈骗和跨境赌博犯罪。加强公共卫生体系建设，完善重大疫情防控救治体系，提高早期监测预警和应急处置能力。提升城市基础设施安全运行水平，加强人员密集场所安全管理，切实保障人民群众生命财产安全。构建“综合＋专业＋社会”基层应急救援力量体系，统筹推进应急场所建设、应急装备物资配备和应急信息化工作，加强</w:t>
      </w:r>
      <w:r>
        <w:rPr>
          <w:rFonts w:hint="eastAsia" w:ascii="Times New Roman" w:hAnsi="Times New Roman" w:cs="Times New Roman"/>
          <w:bCs/>
          <w:color w:val="auto"/>
          <w:spacing w:val="0"/>
          <w:kern w:val="2"/>
          <w:sz w:val="32"/>
          <w:szCs w:val="32"/>
          <w:highlight w:val="none"/>
          <w:u w:val="none" w:color="auto"/>
          <w:lang w:val="en-US" w:eastAsia="zh-CN" w:bidi="ar-SA"/>
        </w:rPr>
        <w:t>对</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应急救援队伍的培训、演练，广泛应用无人机、机器人等先进技术开展灾害监测和救援工作。</w:t>
      </w:r>
    </w:p>
    <w:p w14:paraId="5D2FCBFD">
      <w:pPr>
        <w:jc w:val="cente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51" w:name="_Toc13574"/>
      <w:bookmarkStart w:id="152" w:name="_Toc6814"/>
      <w:bookmarkStart w:id="153" w:name="_Toc1002927719"/>
      <w:bookmarkStart w:id="154" w:name="_Toc32110"/>
      <w:bookmarkStart w:id="155" w:name="_Toc17788"/>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 xml:space="preserve">第四节 </w:t>
      </w:r>
      <w:bookmarkEnd w:id="151"/>
      <w:bookmarkEnd w:id="152"/>
      <w:r>
        <w:rPr>
          <w:rStyle w:val="19"/>
          <w:rFonts w:hint="eastAsia"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创新智慧治理模式</w:t>
      </w:r>
      <w:bookmarkEnd w:id="153"/>
    </w:p>
    <w:p w14:paraId="71674640">
      <w:pPr>
        <w:shd w:val="clear"/>
        <w:spacing w:line="240" w:lineRule="auto"/>
        <w:ind w:firstLine="632" w:firstLineChars="200"/>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pP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构建全域感知、数据驱动的智慧治理体系</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拓展人工智能与大数据在民生服务、社区治理等场景的融合应用，全面提升治理效能与公共服务数字化、智能化水平。</w:t>
      </w:r>
    </w:p>
    <w:p w14:paraId="6233E9C1">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构建数字社会环境。</w:t>
      </w:r>
      <w:r>
        <w:rPr>
          <w:rStyle w:val="19"/>
          <w:rFonts w:hint="default" w:ascii="Times New Roman" w:hAnsi="Times New Roman" w:cs="Times New Roman"/>
          <w:b w:val="0"/>
          <w:bCs w:val="0"/>
          <w:i w:val="0"/>
          <w:iCs w:val="0"/>
          <w:caps w:val="0"/>
          <w:color w:val="auto"/>
          <w:spacing w:val="0"/>
          <w:kern w:val="0"/>
          <w:sz w:val="32"/>
          <w:szCs w:val="32"/>
          <w:highlight w:val="none"/>
          <w:u w:val="none" w:color="auto"/>
          <w:shd w:val="clear" w:fill="FFFFFF"/>
          <w:lang w:val="en-US" w:eastAsia="zh-CN" w:bidi="ar"/>
        </w:rPr>
        <w:t>探索</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推进城市大脑体系建设，</w:t>
      </w:r>
      <w:r>
        <w:rPr>
          <w:rFonts w:hint="default" w:ascii="Times New Roman" w:hAnsi="Times New Roman" w:eastAsia="仿宋_GB2312" w:cs="Times New Roman"/>
          <w:bCs/>
          <w:color w:val="auto"/>
          <w:spacing w:val="0"/>
          <w:kern w:val="2"/>
          <w:sz w:val="32"/>
          <w:szCs w:val="32"/>
          <w:highlight w:val="none"/>
          <w:u w:val="none" w:color="auto"/>
          <w:lang w:val="zh-CN" w:eastAsia="zh-CN" w:bidi="ar-SA"/>
        </w:rPr>
        <w:t>加快“云、数、网、端、安”基础设施建设，推进全域全量数据汇聚运用，</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完善“标签森林”管理体系，以“物联网</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智能感知”打造全流程智慧监管闭环。加速推广AI大模型应用，搭建智慧服务平台，优化智能咨询、精准导办、个性推送智能化服务场景，形成“AI</w:t>
      </w:r>
      <w:r>
        <w:rPr>
          <w:rFonts w:hint="default"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民生服务”智能服务生态体系。加速推进智慧社区建设，完善智慧社区管理平台，拓展</w:t>
      </w:r>
      <w:r>
        <w:rPr>
          <w:rFonts w:hint="default" w:ascii="Times New Roman" w:hAnsi="Times New Roman" w:eastAsia="仿宋_GB2312" w:cs="Times New Roman"/>
          <w:bCs/>
          <w:color w:val="auto"/>
          <w:spacing w:val="0"/>
          <w:kern w:val="2"/>
          <w:sz w:val="32"/>
          <w:szCs w:val="32"/>
          <w:highlight w:val="none"/>
          <w:u w:val="none" w:color="auto"/>
          <w:lang w:val="zh-CN" w:eastAsia="zh-CN" w:bidi="ar-SA"/>
        </w:rPr>
        <w:t>在交通、医疗、教育、社保、能源运营管理等领域</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的智慧应用，构建</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15分钟数字生活圈</w:t>
      </w:r>
      <w:r>
        <w:rPr>
          <w:rFonts w:hint="eastAsia" w:ascii="Times New Roman" w:hAnsi="Times New Roman"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color w:val="auto"/>
          <w:spacing w:val="0"/>
          <w:kern w:val="2"/>
          <w:sz w:val="32"/>
          <w:szCs w:val="32"/>
          <w:highlight w:val="none"/>
          <w:u w:val="none" w:color="auto"/>
          <w:shd w:val="clear"/>
          <w:lang w:val="en-US" w:eastAsia="zh-CN" w:bidi="ar-SA"/>
        </w:rPr>
        <w:t>聚焦</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无人物流车等民生领域打造一批应用场景，推动数字技术为民生需求赋能。</w:t>
      </w:r>
    </w:p>
    <w:p w14:paraId="74AD24E7">
      <w:pPr>
        <w:shd w:val="clear"/>
        <w:spacing w:line="240" w:lineRule="auto"/>
        <w:ind w:firstLine="632" w:firstLineChars="200"/>
        <w:rPr>
          <w:rFonts w:hint="default" w:ascii="Times New Roman" w:hAnsi="Times New Roman" w:eastAsia="仿宋_GB2312" w:cs="Times New Roman"/>
          <w:bCs/>
          <w:color w:val="auto"/>
          <w:spacing w:val="0"/>
          <w:kern w:val="2"/>
          <w:sz w:val="32"/>
          <w:szCs w:val="32"/>
          <w:highlight w:val="none"/>
          <w:u w:val="none" w:color="auto"/>
          <w:lang w:val="en-US" w:eastAsia="zh-CN" w:bidi="ar-SA"/>
        </w:rPr>
      </w:pPr>
      <w:r>
        <w:rPr>
          <w:rStyle w:val="19"/>
          <w:rFonts w:hint="default" w:ascii="Times New Roman" w:hAnsi="Times New Roman" w:eastAsia="仿宋_GB2312" w:cs="Times New Roman"/>
          <w:bCs/>
          <w:i w:val="0"/>
          <w:iCs w:val="0"/>
          <w:caps w:val="0"/>
          <w:color w:val="auto"/>
          <w:spacing w:val="0"/>
          <w:kern w:val="0"/>
          <w:sz w:val="32"/>
          <w:szCs w:val="32"/>
          <w:highlight w:val="none"/>
          <w:u w:val="none" w:color="auto"/>
          <w:shd w:val="clear" w:fill="FFFFFF"/>
          <w:lang w:val="en-US" w:eastAsia="zh-CN" w:bidi="ar"/>
        </w:rPr>
        <w:t>拓展数智生活场景。</w:t>
      </w:r>
      <w:r>
        <w:rPr>
          <w:rStyle w:val="19"/>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fill="FFFFFF"/>
          <w:lang w:val="en-US" w:eastAsia="zh-CN" w:bidi="ar"/>
        </w:rPr>
        <w:t>深</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入开展生活服务数智提升行动，促进优质公共资源跨时空共享，提升服务资源覆盖面和均衡普惠度。把人工智能融入教育教学全要素、全过程，创新智能学伴、智能教师等人机协同教育教学新模式，构建智能化情景交互学习体系。加强智慧医院、智慧养老院建设，加快人工智能等新技术在教育教学、辅助诊断、康复护理中的应用，提升服务便利化、智能化水平。鼓励和引导全民积极学习人工智能新知识、新技术，统筹推进人工智能教育全学段贯通、全社会通识教育推广，加快构建</w:t>
      </w:r>
      <w:r>
        <w:rPr>
          <w:rFonts w:hint="default" w:ascii="Times New Roman" w:hAnsi="Times New Roman" w:eastAsia="仿宋_GB2312" w:cs="Times New Roman"/>
          <w:bCs/>
          <w:color w:val="auto"/>
          <w:spacing w:val="0"/>
          <w:kern w:val="2"/>
          <w:sz w:val="32"/>
          <w:szCs w:val="32"/>
          <w:highlight w:val="none"/>
          <w:u w:val="none" w:color="auto"/>
          <w:shd w:val="clear"/>
          <w:lang w:val="en-US" w:eastAsia="zh-CN" w:bidi="ar-SA"/>
        </w:rPr>
        <w:t>覆盖全民、城乡融合的数字素养与技能发展培育体系</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w:t>
      </w:r>
    </w:p>
    <w:p w14:paraId="6B0F9D7B">
      <w:pPr>
        <w:keepNext w:val="0"/>
        <w:keepLines w:val="0"/>
        <w:pageBreakBefore w:val="0"/>
        <w:widowControl w:val="0"/>
        <w:shd w:val="clear"/>
        <w:tabs>
          <w:tab w:val="left" w:pos="3633"/>
        </w:tabs>
        <w:kinsoku/>
        <w:wordWrap/>
        <w:overflowPunct w:val="0"/>
        <w:topLinePunct w:val="0"/>
        <w:autoSpaceDE/>
        <w:autoSpaceDN/>
        <w:bidi w:val="0"/>
        <w:adjustRightInd/>
        <w:snapToGrid/>
        <w:spacing w:line="240" w:lineRule="auto"/>
        <w:ind w:firstLine="632" w:firstLineChars="200"/>
        <w:jc w:val="both"/>
        <w:textAlignment w:val="auto"/>
        <w:outlineLvl w:val="9"/>
        <w:rPr>
          <w:rFonts w:hint="default" w:ascii="Times New Roman" w:hAnsi="Times New Roman" w:eastAsia="仿宋_GB2312" w:cs="Times New Roman"/>
          <w:bCs/>
          <w:color w:val="auto"/>
          <w:spacing w:val="0"/>
          <w:kern w:val="2"/>
          <w:sz w:val="32"/>
          <w:szCs w:val="32"/>
          <w:highlight w:val="none"/>
          <w:u w:val="none" w:color="auto"/>
          <w:lang w:val="en-US" w:eastAsia="zh-CN" w:bidi="ar-SA"/>
        </w:rPr>
      </w:pPr>
    </w:p>
    <w:p w14:paraId="6A8D3107">
      <w:pPr>
        <w:shd w:val="clear"/>
        <w:overflowPunct w:val="0"/>
        <w:spacing w:line="240" w:lineRule="auto"/>
        <w:jc w:val="both"/>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rPr>
      </w:pPr>
      <w:r>
        <w:rPr>
          <w:rStyle w:val="19"/>
          <w:rFonts w:hint="default" w:ascii="Times New Roman" w:hAnsi="Times New Roman" w:eastAsia="仿宋_GB2312" w:cs="Times New Roman"/>
          <w:b w:val="0"/>
          <w:bCs w:val="0"/>
          <w:i w:val="0"/>
          <w:iCs w:val="0"/>
          <w:caps w:val="0"/>
          <w:color w:val="auto"/>
          <w:spacing w:val="0"/>
          <w:sz w:val="32"/>
          <w:szCs w:val="32"/>
          <w:highlight w:val="none"/>
          <w:u w:val="none" w:color="auto"/>
          <w:shd w:val="clear" w:fill="FFFFFF"/>
        </w:rPr>
        <w:br w:type="page"/>
      </w:r>
    </w:p>
    <w:p w14:paraId="77DB6A3C">
      <w:pPr>
        <w:spacing w:line="480" w:lineRule="auto"/>
        <w:jc w:val="cente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pPr>
      <w:bookmarkStart w:id="156" w:name="_Toc1796628730"/>
      <w:r>
        <w:rPr>
          <w:rStyle w:val="19"/>
          <w:rFonts w:hint="default" w:ascii="Times New Roman" w:hAnsi="Times New Roman" w:eastAsia="方正小标宋简体" w:cs="Times New Roman"/>
          <w:b w:val="0"/>
          <w:bCs w:val="0"/>
          <w:i w:val="0"/>
          <w:iCs w:val="0"/>
          <w:caps w:val="0"/>
          <w:color w:val="auto"/>
          <w:spacing w:val="0"/>
          <w:sz w:val="32"/>
          <w:szCs w:val="32"/>
          <w:highlight w:val="none"/>
          <w:u w:val="none" w:color="auto"/>
          <w:shd w:val="clear" w:fill="FFFFFF"/>
          <w:lang w:val="en-US" w:eastAsia="zh-CN"/>
        </w:rPr>
        <w:t>第十三章 健全保障措施 筑牢规划落地支撑</w:t>
      </w:r>
      <w:bookmarkEnd w:id="154"/>
      <w:bookmarkEnd w:id="155"/>
      <w:bookmarkEnd w:id="156"/>
    </w:p>
    <w:p w14:paraId="6838AA15">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全面加强党的建设，持之以恒推进全面从严治党，不断增强</w:t>
      </w:r>
      <w:r>
        <w:rPr>
          <w:rFonts w:hint="default" w:ascii="Times New Roman" w:hAnsi="Times New Roman" w:eastAsia="仿宋_GB2312" w:cs="Times New Roman"/>
          <w:color w:val="auto"/>
          <w:spacing w:val="-11"/>
          <w:sz w:val="32"/>
          <w:szCs w:val="32"/>
          <w:highlight w:val="none"/>
          <w:u w:val="none" w:color="auto"/>
          <w:lang w:val="en-US" w:eastAsia="zh-CN"/>
        </w:rPr>
        <w:t>党的政治领导力、思想引领力、群众组织力、</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社会</w:t>
      </w:r>
      <w:r>
        <w:rPr>
          <w:rFonts w:hint="default" w:ascii="Times New Roman" w:hAnsi="Times New Roman" w:eastAsia="仿宋_GB2312" w:cs="Times New Roman"/>
          <w:color w:val="auto"/>
          <w:spacing w:val="-11"/>
          <w:sz w:val="32"/>
          <w:szCs w:val="32"/>
          <w:highlight w:val="none"/>
          <w:u w:val="none" w:color="auto"/>
          <w:lang w:val="en-US" w:eastAsia="zh-CN"/>
        </w:rPr>
        <w:t>号召力，确保全区上下思想统一、步调一致，凝聚起推动高质量发展的磅礴力量</w:t>
      </w:r>
      <w:r>
        <w:rPr>
          <w:rFonts w:hint="default" w:ascii="Times New Roman" w:hAnsi="Times New Roman" w:eastAsia="仿宋_GB2312" w:cs="Times New Roman"/>
          <w:color w:val="auto"/>
          <w:spacing w:val="0"/>
          <w:sz w:val="32"/>
          <w:szCs w:val="32"/>
          <w:highlight w:val="none"/>
          <w:u w:val="none" w:color="auto"/>
          <w:lang w:val="en-US" w:eastAsia="zh-CN"/>
        </w:rPr>
        <w:t>。</w:t>
      </w:r>
    </w:p>
    <w:p w14:paraId="32C40B9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57" w:name="_Toc5452"/>
      <w:bookmarkStart w:id="158" w:name="_Toc19665"/>
      <w:bookmarkStart w:id="159" w:name="_Toc123457688"/>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第一节 加强</w:t>
      </w:r>
      <w:bookmarkEnd w:id="157"/>
      <w:bookmarkEnd w:id="158"/>
      <w:r>
        <w:rPr>
          <w:rStyle w:val="19"/>
          <w:rFonts w:hint="eastAsia"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党的集中统一领导</w:t>
      </w:r>
      <w:bookmarkEnd w:id="159"/>
    </w:p>
    <w:p w14:paraId="23340BB6">
      <w:pPr>
        <w:keepNext w:val="0"/>
        <w:keepLines w:val="0"/>
        <w:pageBreakBefore w:val="0"/>
        <w:widowControl w:val="0"/>
        <w:shd w:val="clear"/>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color w:val="auto"/>
          <w:spacing w:val="0"/>
          <w:sz w:val="32"/>
          <w:szCs w:val="32"/>
          <w:highlight w:val="none"/>
          <w:u w:val="none" w:color="auto"/>
          <w:lang w:eastAsia="zh-CN"/>
        </w:rPr>
        <w:t>坚持党的全面领导，深入贯彻党把方向、谋大局、定政策、促改革的要求，坚持不懈用习近平新时代中国特色社会主义思想武装头脑、指导实践，增强“四个意识”、坚定“四个自信”、做到“两个维护”。全面把握新时代党的建设总要求，突出加强党的政治建设，以提升组织力为重点，把党的基层组织建设</w:t>
      </w:r>
      <w:r>
        <w:rPr>
          <w:rFonts w:hint="default" w:ascii="Times New Roman" w:hAnsi="Times New Roman" w:cs="Times New Roman"/>
          <w:color w:val="auto"/>
          <w:spacing w:val="0"/>
          <w:sz w:val="32"/>
          <w:szCs w:val="32"/>
          <w:highlight w:val="none"/>
          <w:u w:val="none" w:color="auto"/>
          <w:lang w:eastAsia="zh-CN"/>
        </w:rPr>
        <w:t>成为</w:t>
      </w:r>
      <w:r>
        <w:rPr>
          <w:rFonts w:hint="default" w:ascii="Times New Roman" w:hAnsi="Times New Roman" w:eastAsia="仿宋_GB2312" w:cs="Times New Roman"/>
          <w:color w:val="auto"/>
          <w:spacing w:val="0"/>
          <w:sz w:val="32"/>
          <w:szCs w:val="32"/>
          <w:highlight w:val="none"/>
          <w:u w:val="none" w:color="auto"/>
          <w:lang w:eastAsia="zh-CN"/>
        </w:rPr>
        <w:t>宣传党的主张、贯彻党的决定、领导基层治理、团结动员群众、推动改革发展的坚强战斗堡垒。</w:t>
      </w:r>
      <w:r>
        <w:rPr>
          <w:rFonts w:hint="eastAsia" w:ascii="Times New Roman" w:hAnsi="Times New Roman" w:cs="Times New Roman"/>
          <w:color w:val="auto"/>
          <w:spacing w:val="0"/>
          <w:sz w:val="32"/>
          <w:szCs w:val="32"/>
          <w:highlight w:val="none"/>
          <w:u w:val="none" w:color="auto"/>
          <w:lang w:eastAsia="zh-CN"/>
        </w:rPr>
        <w:t>坚决将党中央决策部署和省委、市委、区委相关工作要求贯穿到经济社会发展各领域和规划实施全过程。落实全面从严治党政治责任，完善上下贯通、执行有力的组织体系，</w:t>
      </w:r>
      <w:r>
        <w:rPr>
          <w:rFonts w:hint="default" w:ascii="Times New Roman" w:hAnsi="Times New Roman" w:eastAsia="仿宋_GB2312" w:cs="Times New Roman"/>
          <w:color w:val="auto"/>
          <w:spacing w:val="0"/>
          <w:sz w:val="32"/>
          <w:szCs w:val="32"/>
          <w:highlight w:val="none"/>
          <w:u w:val="none" w:color="auto"/>
          <w:lang w:eastAsia="zh-CN"/>
        </w:rPr>
        <w:t>以高质量党建助推经济社会高质量、可持续发展。</w:t>
      </w:r>
    </w:p>
    <w:p w14:paraId="5E854F7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60" w:name="_Toc8021"/>
      <w:bookmarkStart w:id="161" w:name="_Toc975"/>
      <w:bookmarkStart w:id="162" w:name="_Toc693834234"/>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 xml:space="preserve">第二节 </w:t>
      </w:r>
      <w:bookmarkEnd w:id="160"/>
      <w:bookmarkEnd w:id="161"/>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lang w:val="en-US" w:eastAsia="zh-CN"/>
        </w:rPr>
        <w:t>推动干部能力作风持续向好</w:t>
      </w:r>
      <w:bookmarkEnd w:id="162"/>
    </w:p>
    <w:p w14:paraId="6F6FF9A1">
      <w:pPr>
        <w:keepNext w:val="0"/>
        <w:keepLines w:val="0"/>
        <w:pageBreakBefore w:val="0"/>
        <w:widowControl w:val="0"/>
        <w:shd w:val="clear"/>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bCs w:val="0"/>
          <w:color w:val="auto"/>
          <w:spacing w:val="0"/>
          <w:kern w:val="2"/>
          <w:sz w:val="32"/>
          <w:szCs w:val="32"/>
          <w:highlight w:val="none"/>
          <w:u w:val="none" w:color="auto"/>
          <w:lang w:val="en-US" w:eastAsia="zh-CN" w:bidi="ar-SA"/>
        </w:rPr>
      </w:pPr>
      <w:r>
        <w:rPr>
          <w:rFonts w:hint="eastAsia" w:ascii="Times New Roman" w:hAnsi="Times New Roman" w:cs="Times New Roman"/>
          <w:bCs w:val="0"/>
          <w:color w:val="auto"/>
          <w:spacing w:val="0"/>
          <w:kern w:val="2"/>
          <w:sz w:val="32"/>
          <w:szCs w:val="32"/>
          <w:highlight w:val="none"/>
          <w:u w:val="none" w:color="auto"/>
          <w:lang w:val="en-US" w:eastAsia="zh-CN" w:bidi="ar-SA"/>
        </w:rPr>
        <w:t>贯彻新时代党的组织路线，精准落实好干部标准</w:t>
      </w:r>
      <w:r>
        <w:rPr>
          <w:rFonts w:hint="default" w:ascii="Times New Roman" w:hAnsi="Times New Roman" w:cs="Times New Roman"/>
          <w:bCs w:val="0"/>
          <w:color w:val="auto"/>
          <w:spacing w:val="0"/>
          <w:kern w:val="2"/>
          <w:sz w:val="32"/>
          <w:szCs w:val="32"/>
          <w:highlight w:val="none"/>
          <w:u w:val="none" w:color="auto"/>
          <w:lang w:val="en-US" w:eastAsia="zh-CN" w:bidi="ar-SA"/>
        </w:rPr>
        <w:t>，持续树牢实干实绩导向，建设一支政治过硬、适应新时代要求、堪当</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现代化</w:t>
      </w:r>
      <w:r>
        <w:rPr>
          <w:rFonts w:hint="default" w:ascii="Times New Roman" w:hAnsi="Times New Roman" w:cs="Times New Roman"/>
          <w:bCs w:val="0"/>
          <w:color w:val="auto"/>
          <w:spacing w:val="0"/>
          <w:kern w:val="2"/>
          <w:sz w:val="32"/>
          <w:szCs w:val="32"/>
          <w:highlight w:val="none"/>
          <w:u w:val="none" w:color="auto"/>
          <w:lang w:val="en-US" w:eastAsia="zh-CN" w:bidi="ar-SA"/>
        </w:rPr>
        <w:t>建设重任的高素质专业化干部队伍。深入落实市委《关于提升干部队伍能力作风的20条意见》，</w:t>
      </w:r>
      <w:r>
        <w:rPr>
          <w:rFonts w:hint="eastAsia" w:ascii="Times New Roman" w:hAnsi="Times New Roman" w:cs="Times New Roman"/>
          <w:bCs w:val="0"/>
          <w:color w:val="auto"/>
          <w:spacing w:val="0"/>
          <w:kern w:val="2"/>
          <w:sz w:val="32"/>
          <w:szCs w:val="32"/>
          <w:highlight w:val="none"/>
          <w:u w:val="none" w:color="auto"/>
          <w:lang w:val="en-US" w:eastAsia="zh-CN" w:bidi="ar-SA"/>
        </w:rPr>
        <w:t>树立和践行正确政绩观，既坚持高点定位、事争一流，又实事求是、按规律办事</w:t>
      </w:r>
      <w:r>
        <w:rPr>
          <w:rFonts w:hint="default" w:ascii="Times New Roman" w:hAnsi="Times New Roman" w:cs="Times New Roman"/>
          <w:bCs w:val="0"/>
          <w:color w:val="auto"/>
          <w:spacing w:val="0"/>
          <w:kern w:val="2"/>
          <w:sz w:val="32"/>
          <w:szCs w:val="32"/>
          <w:highlight w:val="none"/>
          <w:u w:val="none" w:color="auto"/>
          <w:lang w:val="en-US" w:eastAsia="zh-CN" w:bidi="ar-SA"/>
        </w:rPr>
        <w:t>。推动全区各级党组织敢容错、善容错、真容错，旗帜鲜明地为敢于担当、踏实做事的干部撑腰鼓劲。持续巩固学习教育成果，推动全区党员干部进一步改作风</w:t>
      </w:r>
      <w:r>
        <w:rPr>
          <w:rFonts w:hint="eastAsia" w:ascii="Times New Roman" w:hAnsi="Times New Roman" w:cs="Times New Roman"/>
          <w:bCs w:val="0"/>
          <w:color w:val="auto"/>
          <w:spacing w:val="0"/>
          <w:kern w:val="2"/>
          <w:sz w:val="32"/>
          <w:szCs w:val="32"/>
          <w:highlight w:val="none"/>
          <w:u w:val="none" w:color="auto"/>
          <w:lang w:val="en-US" w:eastAsia="zh-CN" w:bidi="ar-SA"/>
        </w:rPr>
        <w:t>、</w:t>
      </w:r>
      <w:r>
        <w:rPr>
          <w:rFonts w:hint="default" w:ascii="Times New Roman" w:hAnsi="Times New Roman" w:cs="Times New Roman"/>
          <w:bCs w:val="0"/>
          <w:color w:val="auto"/>
          <w:spacing w:val="0"/>
          <w:kern w:val="2"/>
          <w:sz w:val="32"/>
          <w:szCs w:val="32"/>
          <w:highlight w:val="none"/>
          <w:u w:val="none" w:color="auto"/>
          <w:lang w:val="en-US" w:eastAsia="zh-CN" w:bidi="ar-SA"/>
        </w:rPr>
        <w:t>树新风。持之以恒推进全面从严治党，推进风腐同查同治，深化整治群众身边不正之风和腐败问题，打造风清气正的政治生态。</w:t>
      </w:r>
    </w:p>
    <w:p w14:paraId="78620A0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63" w:name="_Toc14260"/>
      <w:bookmarkStart w:id="164" w:name="_Toc1513054097"/>
      <w:bookmarkStart w:id="165" w:name="_Toc28897"/>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 xml:space="preserve">第三节 </w:t>
      </w:r>
      <w:bookmarkEnd w:id="163"/>
      <w:bookmarkStart w:id="166" w:name="_Toc2305"/>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强化统一规划体系建设</w:t>
      </w:r>
      <w:bookmarkEnd w:id="164"/>
      <w:bookmarkEnd w:id="165"/>
    </w:p>
    <w:p w14:paraId="7DFE44AA">
      <w:pPr>
        <w:keepNext w:val="0"/>
        <w:keepLines w:val="0"/>
        <w:pageBreakBefore w:val="0"/>
        <w:widowControl w:val="0"/>
        <w:shd w:val="clear"/>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以发展规划为统领，专项规划为支撑，落实空间规划要求，构建定位准确、边界清晰、功能互补、衔接统一的规划体系。</w:t>
      </w:r>
      <w:r>
        <w:rPr>
          <w:rFonts w:hint="default" w:ascii="Times New Roman" w:hAnsi="Times New Roman" w:eastAsia="仿宋_GB2312" w:cs="Times New Roman"/>
          <w:bCs/>
          <w:color w:val="auto"/>
          <w:spacing w:val="0"/>
          <w:kern w:val="2"/>
          <w:sz w:val="32"/>
          <w:szCs w:val="32"/>
          <w:highlight w:val="none"/>
          <w:u w:val="none" w:color="auto"/>
          <w:lang w:val="en-US" w:eastAsia="zh-CN" w:bidi="ar-SA"/>
        </w:rPr>
        <w:t>建立</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完善目录清单、衔接审核、实施备案等管理制度。强化各类规划、年度计划与发展规划衔接协调，形成</w:t>
      </w:r>
      <w:r>
        <w:rPr>
          <w:rFonts w:hint="default" w:ascii="Times New Roman" w:hAnsi="Times New Roman" w:cs="Times New Roman"/>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长期战略</w:t>
      </w:r>
      <w:r>
        <w:rPr>
          <w:rFonts w:hint="eastAsia" w:ascii="Times New Roman" w:hAnsi="Times New Roman" w:cs="Times New Roman"/>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发展规划</w:t>
      </w:r>
      <w:r>
        <w:rPr>
          <w:rFonts w:hint="eastAsia" w:ascii="Times New Roman" w:hAnsi="Times New Roman" w:cs="Times New Roman"/>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年度计划</w:t>
      </w:r>
      <w:r>
        <w:rPr>
          <w:rFonts w:hint="default" w:ascii="Times New Roman" w:hAnsi="Times New Roman" w:cs="Times New Roman"/>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的体系化推进和闭环落实机制。把经济政策和非经济政策统一纳入宏观政策取向一致性评估，加强各类政策与规划实施衔接协调</w:t>
      </w:r>
      <w:r>
        <w:rPr>
          <w:rFonts w:hint="default" w:ascii="Times New Roman" w:hAnsi="Times New Roman" w:cs="Times New Roman"/>
          <w:bCs w:val="0"/>
          <w:color w:val="auto"/>
          <w:spacing w:val="0"/>
          <w:kern w:val="2"/>
          <w:sz w:val="32"/>
          <w:szCs w:val="32"/>
          <w:highlight w:val="none"/>
          <w:u w:val="none" w:color="auto"/>
          <w:lang w:val="en-US" w:eastAsia="zh-CN" w:bidi="ar-SA"/>
        </w:rPr>
        <w:t>，推动</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财政、金融、</w:t>
      </w:r>
      <w:r>
        <w:rPr>
          <w:rFonts w:hint="default" w:ascii="Times New Roman" w:hAnsi="Times New Roman" w:cs="Times New Roman"/>
          <w:bCs w:val="0"/>
          <w:color w:val="auto"/>
          <w:spacing w:val="0"/>
          <w:kern w:val="2"/>
          <w:sz w:val="32"/>
          <w:szCs w:val="32"/>
          <w:highlight w:val="none"/>
          <w:u w:val="none" w:color="auto"/>
          <w:lang w:val="en-US" w:eastAsia="zh-CN" w:bidi="ar-SA"/>
        </w:rPr>
        <w:t>土</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地、人才、消费等政策向发展规划确定的重大任务倾斜。</w:t>
      </w:r>
    </w:p>
    <w:p w14:paraId="661F20E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pPr>
      <w:bookmarkStart w:id="167" w:name="_Toc18571"/>
      <w:bookmarkStart w:id="168" w:name="_Toc1840302049"/>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 xml:space="preserve">第四节 </w:t>
      </w:r>
      <w:bookmarkEnd w:id="166"/>
      <w:bookmarkEnd w:id="167"/>
      <w:r>
        <w:rPr>
          <w:rStyle w:val="19"/>
          <w:rFonts w:hint="default" w:ascii="Times New Roman" w:hAnsi="Times New Roman" w:eastAsia="楷体_GB2312" w:cs="Times New Roman"/>
          <w:b w:val="0"/>
          <w:bCs w:val="0"/>
          <w:i w:val="0"/>
          <w:iCs w:val="0"/>
          <w:caps w:val="0"/>
          <w:color w:val="auto"/>
          <w:spacing w:val="0"/>
          <w:sz w:val="32"/>
          <w:szCs w:val="32"/>
          <w:highlight w:val="none"/>
          <w:u w:val="none" w:color="auto"/>
          <w:shd w:val="clear" w:fill="FFFFFF"/>
          <w:lang w:val="en-US" w:eastAsia="zh-CN"/>
        </w:rPr>
        <w:t>健全完善评估监督机制</w:t>
      </w:r>
      <w:bookmarkEnd w:id="168"/>
    </w:p>
    <w:p w14:paraId="7CB55B12">
      <w:pPr>
        <w:keepNext w:val="0"/>
        <w:keepLines w:val="0"/>
        <w:pageBreakBefore w:val="0"/>
        <w:widowControl w:val="0"/>
        <w:shd w:val="clear"/>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健全规划实施动态监测和评估机制，规范开展规划实施情况跟踪监测、中期评估和总结评估，依据</w:t>
      </w:r>
      <w:r>
        <w:rPr>
          <w:rFonts w:hint="eastAsia" w:ascii="Times New Roman" w:hAnsi="Times New Roman" w:cs="Times New Roman"/>
          <w:bCs w:val="0"/>
          <w:color w:val="auto"/>
          <w:spacing w:val="0"/>
          <w:kern w:val="2"/>
          <w:sz w:val="32"/>
          <w:szCs w:val="32"/>
          <w:highlight w:val="none"/>
          <w:u w:val="none" w:color="auto"/>
          <w:lang w:val="en-US" w:eastAsia="zh-CN" w:bidi="ar-SA"/>
        </w:rPr>
        <w:t>监测</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评估</w:t>
      </w:r>
      <w:r>
        <w:rPr>
          <w:rFonts w:hint="eastAsia" w:ascii="Times New Roman" w:hAnsi="Times New Roman" w:cs="Times New Roman"/>
          <w:bCs w:val="0"/>
          <w:color w:val="auto"/>
          <w:spacing w:val="0"/>
          <w:kern w:val="2"/>
          <w:sz w:val="32"/>
          <w:szCs w:val="32"/>
          <w:highlight w:val="none"/>
          <w:u w:val="none" w:color="auto"/>
          <w:lang w:val="en-US" w:eastAsia="zh-CN" w:bidi="ar-SA"/>
        </w:rPr>
        <w:t>情况</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及时</w:t>
      </w:r>
      <w:r>
        <w:rPr>
          <w:rFonts w:hint="eastAsia" w:ascii="Times New Roman" w:hAnsi="Times New Roman" w:cs="Times New Roman"/>
          <w:bCs w:val="0"/>
          <w:color w:val="auto"/>
          <w:spacing w:val="0"/>
          <w:kern w:val="2"/>
          <w:sz w:val="32"/>
          <w:szCs w:val="32"/>
          <w:highlight w:val="none"/>
          <w:u w:val="none" w:color="auto"/>
          <w:lang w:val="en-US" w:eastAsia="zh-CN" w:bidi="ar-SA"/>
        </w:rPr>
        <w:t>提出加强和改进规划实施的政策措施</w:t>
      </w:r>
      <w:r>
        <w:rPr>
          <w:rFonts w:hint="default" w:ascii="Times New Roman" w:hAnsi="Times New Roman" w:eastAsia="仿宋_GB2312" w:cs="Times New Roman"/>
          <w:bCs w:val="0"/>
          <w:color w:val="auto"/>
          <w:spacing w:val="0"/>
          <w:kern w:val="2"/>
          <w:sz w:val="32"/>
          <w:szCs w:val="32"/>
          <w:highlight w:val="none"/>
          <w:u w:val="none" w:color="auto"/>
          <w:lang w:val="en-US" w:eastAsia="zh-CN" w:bidi="ar-SA"/>
        </w:rPr>
        <w:t>。规划实施情况依法接受区人民代表大会及其常务委员会的监督，自觉接受区政协的民主监督。</w:t>
      </w:r>
      <w:r>
        <w:rPr>
          <w:rFonts w:hint="eastAsia" w:ascii="Times New Roman" w:hAnsi="Times New Roman" w:cs="Times New Roman"/>
          <w:bCs w:val="0"/>
          <w:color w:val="auto"/>
          <w:spacing w:val="0"/>
          <w:kern w:val="2"/>
          <w:sz w:val="32"/>
          <w:szCs w:val="32"/>
          <w:highlight w:val="none"/>
          <w:u w:val="none" w:color="auto"/>
          <w:lang w:val="en-US" w:eastAsia="zh-CN" w:bidi="ar-SA"/>
        </w:rPr>
        <w:t>充分发挥各民主党派、工商联和无党派人士的民主监督作用，聚焦重点工作、重大举措和重要约束性指标，增强监督实效。全面推行政务公开，自觉接受群众监督和舆论监督，及时回应社会关切。</w:t>
      </w:r>
    </w:p>
    <w:sectPr>
      <w:footerReference r:id="rId4" w:type="default"/>
      <w:pgSz w:w="11906" w:h="16838"/>
      <w:pgMar w:top="1701" w:right="1531" w:bottom="1587" w:left="1531" w:header="851" w:footer="992" w:gutter="0"/>
      <w:pgNumType w:fmt="decimal" w:start="1"/>
      <w:cols w:space="0" w:num="1"/>
      <w:rtlGutter w:val="0"/>
      <w:docGrid w:type="linesAndChars" w:linePitch="61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D0EC42-E98F-4050-A05C-9FE687A3450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A3763F9-4F2A-4A70-9AC1-A036C1CE0F0A}"/>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3" w:fontKey="{AE8614CB-1F80-4171-BD8D-314A2C34B8D0}"/>
  </w:font>
  <w:font w:name="FangSong_GB2312">
    <w:altName w:val="仿宋_GB2312"/>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4" w:fontKey="{C5740962-E385-45DF-9735-A3782430C8D3}"/>
  </w:font>
  <w:font w:name="方正小标宋_GBK">
    <w:panose1 w:val="02000000000000000000"/>
    <w:charset w:val="86"/>
    <w:family w:val="auto"/>
    <w:pitch w:val="default"/>
    <w:sig w:usb0="A00002BF" w:usb1="38CF7CFA" w:usb2="00082016" w:usb3="00000000" w:csb0="00040001" w:csb1="00000000"/>
    <w:embedRegular r:id="rId5" w:fontKey="{2C4BBEAC-27F5-4DA7-BAB4-33FA4101AA6A}"/>
  </w:font>
  <w:font w:name="方正仿宋_GBK">
    <w:altName w:val="微软雅黑"/>
    <w:panose1 w:val="02000000000000000000"/>
    <w:charset w:val="86"/>
    <w:family w:val="script"/>
    <w:pitch w:val="default"/>
    <w:sig w:usb0="00000000" w:usb1="00000000" w:usb2="00082016" w:usb3="00000000" w:csb0="00040001" w:csb1="00000000"/>
    <w:embedRegular r:id="rId6" w:fontKey="{184F0410-E40E-4C07-911F-7E3506ADAE14}"/>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DD0CF">
    <w:pPr>
      <w:pStyle w:val="9"/>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25EE">
    <w:pPr>
      <w:pStyle w:val="9"/>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E7F3F">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BE7F3F">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30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24B15"/>
    <w:rsid w:val="00376FD8"/>
    <w:rsid w:val="00442060"/>
    <w:rsid w:val="00480D4B"/>
    <w:rsid w:val="005E0AA6"/>
    <w:rsid w:val="0078006F"/>
    <w:rsid w:val="00F34268"/>
    <w:rsid w:val="010808A1"/>
    <w:rsid w:val="0123225F"/>
    <w:rsid w:val="01BB068C"/>
    <w:rsid w:val="01C04E49"/>
    <w:rsid w:val="01F50EF3"/>
    <w:rsid w:val="030A026D"/>
    <w:rsid w:val="03157416"/>
    <w:rsid w:val="03323B24"/>
    <w:rsid w:val="039E565E"/>
    <w:rsid w:val="03C142B6"/>
    <w:rsid w:val="03F30391"/>
    <w:rsid w:val="042B2A6C"/>
    <w:rsid w:val="046643CE"/>
    <w:rsid w:val="05573BD5"/>
    <w:rsid w:val="05EA06E6"/>
    <w:rsid w:val="06117755"/>
    <w:rsid w:val="071C4FC6"/>
    <w:rsid w:val="0771257B"/>
    <w:rsid w:val="078331EF"/>
    <w:rsid w:val="07FB6BDB"/>
    <w:rsid w:val="083C5EFC"/>
    <w:rsid w:val="08901A19"/>
    <w:rsid w:val="09195FFB"/>
    <w:rsid w:val="09321CF9"/>
    <w:rsid w:val="094B1DE4"/>
    <w:rsid w:val="09545761"/>
    <w:rsid w:val="09975029"/>
    <w:rsid w:val="09FB55B8"/>
    <w:rsid w:val="0A252635"/>
    <w:rsid w:val="0B09250B"/>
    <w:rsid w:val="0B4D3BF1"/>
    <w:rsid w:val="0CAA7A16"/>
    <w:rsid w:val="0CE922EB"/>
    <w:rsid w:val="0D1B1ACD"/>
    <w:rsid w:val="0DFC36AD"/>
    <w:rsid w:val="0DFC9F13"/>
    <w:rsid w:val="0EE1759B"/>
    <w:rsid w:val="0F590F7B"/>
    <w:rsid w:val="0F772D59"/>
    <w:rsid w:val="0FA45DAA"/>
    <w:rsid w:val="0FE32D76"/>
    <w:rsid w:val="11462CA9"/>
    <w:rsid w:val="11BE036B"/>
    <w:rsid w:val="11D0282A"/>
    <w:rsid w:val="11D05050"/>
    <w:rsid w:val="129F0AAB"/>
    <w:rsid w:val="132E255A"/>
    <w:rsid w:val="141267D3"/>
    <w:rsid w:val="15F51C7C"/>
    <w:rsid w:val="173D342E"/>
    <w:rsid w:val="175B1444"/>
    <w:rsid w:val="178D4A23"/>
    <w:rsid w:val="17F78729"/>
    <w:rsid w:val="18254632"/>
    <w:rsid w:val="183EC320"/>
    <w:rsid w:val="186E504D"/>
    <w:rsid w:val="1888270D"/>
    <w:rsid w:val="189F3152"/>
    <w:rsid w:val="18B73D51"/>
    <w:rsid w:val="19085CE9"/>
    <w:rsid w:val="19DB3D80"/>
    <w:rsid w:val="1A80358B"/>
    <w:rsid w:val="1AB544B3"/>
    <w:rsid w:val="1AE300CE"/>
    <w:rsid w:val="1AE7C324"/>
    <w:rsid w:val="1B7F7E91"/>
    <w:rsid w:val="1BA62EAA"/>
    <w:rsid w:val="1BAA0BEC"/>
    <w:rsid w:val="1C850D11"/>
    <w:rsid w:val="1D331A85"/>
    <w:rsid w:val="1D6F5C49"/>
    <w:rsid w:val="1D9531D6"/>
    <w:rsid w:val="1DC001AC"/>
    <w:rsid w:val="1DECC66E"/>
    <w:rsid w:val="1DFBBADE"/>
    <w:rsid w:val="1EBF8B18"/>
    <w:rsid w:val="1EF4719A"/>
    <w:rsid w:val="1EFB8D70"/>
    <w:rsid w:val="1F2F89F3"/>
    <w:rsid w:val="1F8900B6"/>
    <w:rsid w:val="1FE2F7EE"/>
    <w:rsid w:val="20185446"/>
    <w:rsid w:val="20967902"/>
    <w:rsid w:val="20BB1D9E"/>
    <w:rsid w:val="21DE7D5D"/>
    <w:rsid w:val="21E36C06"/>
    <w:rsid w:val="21FC7239"/>
    <w:rsid w:val="220A23E4"/>
    <w:rsid w:val="22460F43"/>
    <w:rsid w:val="227D45C8"/>
    <w:rsid w:val="22A14B92"/>
    <w:rsid w:val="22CA3922"/>
    <w:rsid w:val="240115C5"/>
    <w:rsid w:val="24217571"/>
    <w:rsid w:val="24AD3C30"/>
    <w:rsid w:val="253634F0"/>
    <w:rsid w:val="25D95955"/>
    <w:rsid w:val="26C54964"/>
    <w:rsid w:val="26F64CE5"/>
    <w:rsid w:val="27277595"/>
    <w:rsid w:val="280C0493"/>
    <w:rsid w:val="284303FE"/>
    <w:rsid w:val="287B1ADE"/>
    <w:rsid w:val="28D97B12"/>
    <w:rsid w:val="28FD67FF"/>
    <w:rsid w:val="291948F8"/>
    <w:rsid w:val="29D07A70"/>
    <w:rsid w:val="29D222A8"/>
    <w:rsid w:val="2A443FBA"/>
    <w:rsid w:val="2B224387"/>
    <w:rsid w:val="2B5B7FD6"/>
    <w:rsid w:val="2B5F24A3"/>
    <w:rsid w:val="2BDD46C6"/>
    <w:rsid w:val="2BFC2247"/>
    <w:rsid w:val="2C1D7CC5"/>
    <w:rsid w:val="2CCE400E"/>
    <w:rsid w:val="2CDF621C"/>
    <w:rsid w:val="2D662499"/>
    <w:rsid w:val="2E0D711A"/>
    <w:rsid w:val="2E100D83"/>
    <w:rsid w:val="2E150147"/>
    <w:rsid w:val="2E1F6A08"/>
    <w:rsid w:val="2E5E5863"/>
    <w:rsid w:val="2E6FF901"/>
    <w:rsid w:val="2EA72D69"/>
    <w:rsid w:val="2EAE6418"/>
    <w:rsid w:val="2F854E58"/>
    <w:rsid w:val="2F885A6E"/>
    <w:rsid w:val="2FBB8BBA"/>
    <w:rsid w:val="2FC66065"/>
    <w:rsid w:val="2FCA4F61"/>
    <w:rsid w:val="2FFDB144"/>
    <w:rsid w:val="3050190A"/>
    <w:rsid w:val="30C22046"/>
    <w:rsid w:val="3112096E"/>
    <w:rsid w:val="31F36B8F"/>
    <w:rsid w:val="322F554F"/>
    <w:rsid w:val="325FB9AF"/>
    <w:rsid w:val="32747406"/>
    <w:rsid w:val="32877139"/>
    <w:rsid w:val="32A7158A"/>
    <w:rsid w:val="330F3100"/>
    <w:rsid w:val="33460DA3"/>
    <w:rsid w:val="33773976"/>
    <w:rsid w:val="33EF2E85"/>
    <w:rsid w:val="347A6661"/>
    <w:rsid w:val="34841D18"/>
    <w:rsid w:val="34C938AE"/>
    <w:rsid w:val="3547779A"/>
    <w:rsid w:val="36CC15BF"/>
    <w:rsid w:val="3757A964"/>
    <w:rsid w:val="376F8449"/>
    <w:rsid w:val="37A8202C"/>
    <w:rsid w:val="37DD3A84"/>
    <w:rsid w:val="37FA3F4F"/>
    <w:rsid w:val="38CF1B7C"/>
    <w:rsid w:val="38F071D5"/>
    <w:rsid w:val="39397620"/>
    <w:rsid w:val="39916D1C"/>
    <w:rsid w:val="39B822CE"/>
    <w:rsid w:val="39F72E3D"/>
    <w:rsid w:val="3A0270FD"/>
    <w:rsid w:val="3A0472C2"/>
    <w:rsid w:val="3A710635"/>
    <w:rsid w:val="3A784595"/>
    <w:rsid w:val="3A814B78"/>
    <w:rsid w:val="3AF3BF41"/>
    <w:rsid w:val="3AF9494C"/>
    <w:rsid w:val="3B02504F"/>
    <w:rsid w:val="3B2E25D3"/>
    <w:rsid w:val="3B9D0D0B"/>
    <w:rsid w:val="3BCFAAF4"/>
    <w:rsid w:val="3BD74BAD"/>
    <w:rsid w:val="3BDF243D"/>
    <w:rsid w:val="3C3B2BD3"/>
    <w:rsid w:val="3D5F6C0A"/>
    <w:rsid w:val="3DAD2090"/>
    <w:rsid w:val="3DB5882B"/>
    <w:rsid w:val="3E3D2294"/>
    <w:rsid w:val="3E6230EC"/>
    <w:rsid w:val="3E9F0DEC"/>
    <w:rsid w:val="3ECF1595"/>
    <w:rsid w:val="3EFF1B4F"/>
    <w:rsid w:val="3F1461F9"/>
    <w:rsid w:val="3F6D0C13"/>
    <w:rsid w:val="3F8EE650"/>
    <w:rsid w:val="3F8FEA4E"/>
    <w:rsid w:val="3F99BE88"/>
    <w:rsid w:val="3FBF81D0"/>
    <w:rsid w:val="3FF7F461"/>
    <w:rsid w:val="3FFD6481"/>
    <w:rsid w:val="3FFE37B2"/>
    <w:rsid w:val="3FFECB50"/>
    <w:rsid w:val="406600E2"/>
    <w:rsid w:val="406900D0"/>
    <w:rsid w:val="40792EE3"/>
    <w:rsid w:val="408A49C4"/>
    <w:rsid w:val="40AE356F"/>
    <w:rsid w:val="40F7192E"/>
    <w:rsid w:val="41424754"/>
    <w:rsid w:val="41540B2E"/>
    <w:rsid w:val="4185518C"/>
    <w:rsid w:val="422F6EA6"/>
    <w:rsid w:val="42C615B8"/>
    <w:rsid w:val="43154A9B"/>
    <w:rsid w:val="43735DE2"/>
    <w:rsid w:val="439067B5"/>
    <w:rsid w:val="43CD1B8D"/>
    <w:rsid w:val="453B59EF"/>
    <w:rsid w:val="457A1A0B"/>
    <w:rsid w:val="45A46349"/>
    <w:rsid w:val="45BF6C7C"/>
    <w:rsid w:val="45C02C36"/>
    <w:rsid w:val="45E858D0"/>
    <w:rsid w:val="46731A57"/>
    <w:rsid w:val="469704FA"/>
    <w:rsid w:val="46A32772"/>
    <w:rsid w:val="470B7EE1"/>
    <w:rsid w:val="47413903"/>
    <w:rsid w:val="47753356"/>
    <w:rsid w:val="47767644"/>
    <w:rsid w:val="47767FF2"/>
    <w:rsid w:val="482254E2"/>
    <w:rsid w:val="48524B15"/>
    <w:rsid w:val="48FD8096"/>
    <w:rsid w:val="493801AD"/>
    <w:rsid w:val="49973CAE"/>
    <w:rsid w:val="49A67DFD"/>
    <w:rsid w:val="49AB2348"/>
    <w:rsid w:val="4A471230"/>
    <w:rsid w:val="4B1D4687"/>
    <w:rsid w:val="4BB5666E"/>
    <w:rsid w:val="4BE9F706"/>
    <w:rsid w:val="4C171001"/>
    <w:rsid w:val="4CA07244"/>
    <w:rsid w:val="4D0D2257"/>
    <w:rsid w:val="4D875DE8"/>
    <w:rsid w:val="4D8D4127"/>
    <w:rsid w:val="4D907392"/>
    <w:rsid w:val="4DDFB4B7"/>
    <w:rsid w:val="4E0A4298"/>
    <w:rsid w:val="4E740A62"/>
    <w:rsid w:val="4EBFD510"/>
    <w:rsid w:val="4ED137BE"/>
    <w:rsid w:val="4EF6403A"/>
    <w:rsid w:val="4F0E4A13"/>
    <w:rsid w:val="4F4E6A9F"/>
    <w:rsid w:val="4F820686"/>
    <w:rsid w:val="4FDB3EA4"/>
    <w:rsid w:val="50547CC8"/>
    <w:rsid w:val="505D2E1B"/>
    <w:rsid w:val="50C4668F"/>
    <w:rsid w:val="50D43A3A"/>
    <w:rsid w:val="51932FAD"/>
    <w:rsid w:val="521340EE"/>
    <w:rsid w:val="52595E4D"/>
    <w:rsid w:val="52AF60CA"/>
    <w:rsid w:val="52FEA6E8"/>
    <w:rsid w:val="53305D50"/>
    <w:rsid w:val="53A86DEE"/>
    <w:rsid w:val="54222243"/>
    <w:rsid w:val="547C41CC"/>
    <w:rsid w:val="548B40E8"/>
    <w:rsid w:val="549332C4"/>
    <w:rsid w:val="54C067AF"/>
    <w:rsid w:val="55071E80"/>
    <w:rsid w:val="55106263"/>
    <w:rsid w:val="55DB3175"/>
    <w:rsid w:val="55FEBED2"/>
    <w:rsid w:val="561FECD8"/>
    <w:rsid w:val="56C87B9D"/>
    <w:rsid w:val="575C7EEE"/>
    <w:rsid w:val="5765363E"/>
    <w:rsid w:val="5767038D"/>
    <w:rsid w:val="57783371"/>
    <w:rsid w:val="57DFFB7C"/>
    <w:rsid w:val="580104C9"/>
    <w:rsid w:val="581451E7"/>
    <w:rsid w:val="583C1DF9"/>
    <w:rsid w:val="58445001"/>
    <w:rsid w:val="588E0972"/>
    <w:rsid w:val="58B2640F"/>
    <w:rsid w:val="58DC606A"/>
    <w:rsid w:val="59D75AE7"/>
    <w:rsid w:val="59E3CA86"/>
    <w:rsid w:val="5A0069E3"/>
    <w:rsid w:val="5A5654C0"/>
    <w:rsid w:val="5A780A78"/>
    <w:rsid w:val="5AB521E6"/>
    <w:rsid w:val="5B2F1F99"/>
    <w:rsid w:val="5B3E6680"/>
    <w:rsid w:val="5B687259"/>
    <w:rsid w:val="5BADFBDD"/>
    <w:rsid w:val="5BF798D6"/>
    <w:rsid w:val="5BF925A6"/>
    <w:rsid w:val="5C1E04CD"/>
    <w:rsid w:val="5C270EC2"/>
    <w:rsid w:val="5C313977"/>
    <w:rsid w:val="5C3F80F4"/>
    <w:rsid w:val="5C4C7C95"/>
    <w:rsid w:val="5C6401AA"/>
    <w:rsid w:val="5C761E49"/>
    <w:rsid w:val="5C806824"/>
    <w:rsid w:val="5CAA564F"/>
    <w:rsid w:val="5CBF316D"/>
    <w:rsid w:val="5CFF7266"/>
    <w:rsid w:val="5D661CEA"/>
    <w:rsid w:val="5DB524FD"/>
    <w:rsid w:val="5DDA7107"/>
    <w:rsid w:val="5DF7016B"/>
    <w:rsid w:val="5EE22BC7"/>
    <w:rsid w:val="5EFB1F54"/>
    <w:rsid w:val="5EFBE02B"/>
    <w:rsid w:val="5EFEECC3"/>
    <w:rsid w:val="5EFF4EBE"/>
    <w:rsid w:val="5F221E14"/>
    <w:rsid w:val="5F2F1EEB"/>
    <w:rsid w:val="5F5159EF"/>
    <w:rsid w:val="5F7F33A2"/>
    <w:rsid w:val="5FA01A5A"/>
    <w:rsid w:val="5FC61D49"/>
    <w:rsid w:val="5FD72B7F"/>
    <w:rsid w:val="5FFD3E1F"/>
    <w:rsid w:val="60327E35"/>
    <w:rsid w:val="6061362E"/>
    <w:rsid w:val="60E455D3"/>
    <w:rsid w:val="611D2893"/>
    <w:rsid w:val="61B9080E"/>
    <w:rsid w:val="61E37639"/>
    <w:rsid w:val="62261C1B"/>
    <w:rsid w:val="62766122"/>
    <w:rsid w:val="628571B3"/>
    <w:rsid w:val="628E05CD"/>
    <w:rsid w:val="629B1BAF"/>
    <w:rsid w:val="62AC3ECF"/>
    <w:rsid w:val="62C37BCE"/>
    <w:rsid w:val="63185A08"/>
    <w:rsid w:val="63EB6D69"/>
    <w:rsid w:val="63ED29F1"/>
    <w:rsid w:val="63F9C75F"/>
    <w:rsid w:val="647B034D"/>
    <w:rsid w:val="64B2087F"/>
    <w:rsid w:val="64FB2EEB"/>
    <w:rsid w:val="65044496"/>
    <w:rsid w:val="652512FD"/>
    <w:rsid w:val="657171FE"/>
    <w:rsid w:val="657C930A"/>
    <w:rsid w:val="659A4338"/>
    <w:rsid w:val="65AE016F"/>
    <w:rsid w:val="666748C5"/>
    <w:rsid w:val="666D423B"/>
    <w:rsid w:val="668A7B8F"/>
    <w:rsid w:val="66A80E51"/>
    <w:rsid w:val="66AB0941"/>
    <w:rsid w:val="66D5214C"/>
    <w:rsid w:val="674A1F08"/>
    <w:rsid w:val="67B7370B"/>
    <w:rsid w:val="67FF0D21"/>
    <w:rsid w:val="683D7C3C"/>
    <w:rsid w:val="692C4A1B"/>
    <w:rsid w:val="697B284D"/>
    <w:rsid w:val="69DA1D9A"/>
    <w:rsid w:val="6AD435E7"/>
    <w:rsid w:val="6B7F1D5F"/>
    <w:rsid w:val="6BE97ADB"/>
    <w:rsid w:val="6C445178"/>
    <w:rsid w:val="6C9F4575"/>
    <w:rsid w:val="6CBDDCA9"/>
    <w:rsid w:val="6DFBA1C0"/>
    <w:rsid w:val="6E9FA8EC"/>
    <w:rsid w:val="6EEB5DB6"/>
    <w:rsid w:val="6EF7FCDA"/>
    <w:rsid w:val="6EFA06B8"/>
    <w:rsid w:val="6EFD2FD8"/>
    <w:rsid w:val="6F5D0108"/>
    <w:rsid w:val="6F69CA28"/>
    <w:rsid w:val="6F8B1310"/>
    <w:rsid w:val="6FA94A46"/>
    <w:rsid w:val="6FAF4FFE"/>
    <w:rsid w:val="6FDC88DD"/>
    <w:rsid w:val="6FEF7BE5"/>
    <w:rsid w:val="7004359C"/>
    <w:rsid w:val="703B4AE4"/>
    <w:rsid w:val="709F5349"/>
    <w:rsid w:val="70C745CA"/>
    <w:rsid w:val="719941B8"/>
    <w:rsid w:val="71A506DD"/>
    <w:rsid w:val="72343EE1"/>
    <w:rsid w:val="726878A8"/>
    <w:rsid w:val="728E539F"/>
    <w:rsid w:val="72A20E4A"/>
    <w:rsid w:val="72B218B6"/>
    <w:rsid w:val="72CB80E2"/>
    <w:rsid w:val="733F48EB"/>
    <w:rsid w:val="736F6EE0"/>
    <w:rsid w:val="73AA26AC"/>
    <w:rsid w:val="73B73974"/>
    <w:rsid w:val="73E70662"/>
    <w:rsid w:val="73EF8BB0"/>
    <w:rsid w:val="748202E9"/>
    <w:rsid w:val="74D13C69"/>
    <w:rsid w:val="74E1661C"/>
    <w:rsid w:val="75144A21"/>
    <w:rsid w:val="753F39DE"/>
    <w:rsid w:val="758E4220"/>
    <w:rsid w:val="75C33AB1"/>
    <w:rsid w:val="75E823B4"/>
    <w:rsid w:val="75F362BE"/>
    <w:rsid w:val="765B15BF"/>
    <w:rsid w:val="76AA0884"/>
    <w:rsid w:val="76AA520D"/>
    <w:rsid w:val="76B137D0"/>
    <w:rsid w:val="76FEC6AE"/>
    <w:rsid w:val="77062109"/>
    <w:rsid w:val="773109EF"/>
    <w:rsid w:val="773543F3"/>
    <w:rsid w:val="775E5C88"/>
    <w:rsid w:val="779F356A"/>
    <w:rsid w:val="77BF4D93"/>
    <w:rsid w:val="77BF9E22"/>
    <w:rsid w:val="77BFAC5E"/>
    <w:rsid w:val="77BFDF0D"/>
    <w:rsid w:val="77CD1248"/>
    <w:rsid w:val="77CE7A92"/>
    <w:rsid w:val="77D71E1D"/>
    <w:rsid w:val="77E50E22"/>
    <w:rsid w:val="77FDB8F4"/>
    <w:rsid w:val="78060720"/>
    <w:rsid w:val="78570825"/>
    <w:rsid w:val="78686692"/>
    <w:rsid w:val="794D60DA"/>
    <w:rsid w:val="79837AAE"/>
    <w:rsid w:val="79964206"/>
    <w:rsid w:val="7A35410F"/>
    <w:rsid w:val="7A88301C"/>
    <w:rsid w:val="7AAA11E4"/>
    <w:rsid w:val="7AEA338E"/>
    <w:rsid w:val="7B164183"/>
    <w:rsid w:val="7B1B3E90"/>
    <w:rsid w:val="7B2C1BF9"/>
    <w:rsid w:val="7B3F2609"/>
    <w:rsid w:val="7B4A6528"/>
    <w:rsid w:val="7B63A150"/>
    <w:rsid w:val="7B676C42"/>
    <w:rsid w:val="7B782909"/>
    <w:rsid w:val="7B9054F6"/>
    <w:rsid w:val="7B9F3947"/>
    <w:rsid w:val="7BB1220A"/>
    <w:rsid w:val="7BBF6C26"/>
    <w:rsid w:val="7BCC3E1B"/>
    <w:rsid w:val="7BF94A10"/>
    <w:rsid w:val="7BFF1074"/>
    <w:rsid w:val="7C5C4760"/>
    <w:rsid w:val="7C9C45EB"/>
    <w:rsid w:val="7CBFC3E8"/>
    <w:rsid w:val="7CC76DCF"/>
    <w:rsid w:val="7CE37647"/>
    <w:rsid w:val="7CFBE878"/>
    <w:rsid w:val="7D3B4375"/>
    <w:rsid w:val="7D3E170F"/>
    <w:rsid w:val="7D7BDE72"/>
    <w:rsid w:val="7DE5932A"/>
    <w:rsid w:val="7DEFD848"/>
    <w:rsid w:val="7DFBBB31"/>
    <w:rsid w:val="7DFBF819"/>
    <w:rsid w:val="7DFE5C93"/>
    <w:rsid w:val="7E1150D6"/>
    <w:rsid w:val="7E156974"/>
    <w:rsid w:val="7E7F8833"/>
    <w:rsid w:val="7E861620"/>
    <w:rsid w:val="7EB36AF1"/>
    <w:rsid w:val="7EB3CF8F"/>
    <w:rsid w:val="7EBFEC57"/>
    <w:rsid w:val="7ED741E0"/>
    <w:rsid w:val="7EDFA88F"/>
    <w:rsid w:val="7EE66941"/>
    <w:rsid w:val="7EEDF485"/>
    <w:rsid w:val="7EEF516A"/>
    <w:rsid w:val="7EFAE1F7"/>
    <w:rsid w:val="7EFF9F5D"/>
    <w:rsid w:val="7F0E8C39"/>
    <w:rsid w:val="7F8F6BFA"/>
    <w:rsid w:val="7F9F73AD"/>
    <w:rsid w:val="7F9FF2F8"/>
    <w:rsid w:val="7FCC9C6F"/>
    <w:rsid w:val="7FD57FFC"/>
    <w:rsid w:val="7FE55D41"/>
    <w:rsid w:val="7FF80792"/>
    <w:rsid w:val="7FFB0312"/>
    <w:rsid w:val="7FFE7A2C"/>
    <w:rsid w:val="7FFF79E4"/>
    <w:rsid w:val="7FFF7EDA"/>
    <w:rsid w:val="7FFFB64E"/>
    <w:rsid w:val="82FBCF7A"/>
    <w:rsid w:val="9DDF3610"/>
    <w:rsid w:val="9DF9D07A"/>
    <w:rsid w:val="9ED79D19"/>
    <w:rsid w:val="9F2F95CD"/>
    <w:rsid w:val="A365FDB5"/>
    <w:rsid w:val="A7F9216A"/>
    <w:rsid w:val="AD8FB0FC"/>
    <w:rsid w:val="AEDE22B5"/>
    <w:rsid w:val="AFB6BE70"/>
    <w:rsid w:val="AFFF3FD5"/>
    <w:rsid w:val="B59F7218"/>
    <w:rsid w:val="B5EA2BD2"/>
    <w:rsid w:val="B71CE49A"/>
    <w:rsid w:val="B7779C44"/>
    <w:rsid w:val="B7A740DB"/>
    <w:rsid w:val="B7CE4D51"/>
    <w:rsid w:val="B7EB5C21"/>
    <w:rsid w:val="B7FDC49C"/>
    <w:rsid w:val="B8FF2376"/>
    <w:rsid w:val="B8FFFEA8"/>
    <w:rsid w:val="B95F3D8C"/>
    <w:rsid w:val="BBDE6F53"/>
    <w:rsid w:val="BDA78CD7"/>
    <w:rsid w:val="BDAE9742"/>
    <w:rsid w:val="BDF2BC26"/>
    <w:rsid w:val="BEABB9FE"/>
    <w:rsid w:val="BEBA624D"/>
    <w:rsid w:val="BEED2CD6"/>
    <w:rsid w:val="BF3D3CD9"/>
    <w:rsid w:val="BF6FEC24"/>
    <w:rsid w:val="BFE76E7F"/>
    <w:rsid w:val="BFF5549A"/>
    <w:rsid w:val="BFF7180C"/>
    <w:rsid w:val="BFFF66D1"/>
    <w:rsid w:val="C5F38204"/>
    <w:rsid w:val="C9DF2F33"/>
    <w:rsid w:val="CAFF4C0E"/>
    <w:rsid w:val="CB7C9724"/>
    <w:rsid w:val="CEBC77AF"/>
    <w:rsid w:val="CEFBD584"/>
    <w:rsid w:val="CEFD9ACA"/>
    <w:rsid w:val="CF5E7240"/>
    <w:rsid w:val="D2DF3A66"/>
    <w:rsid w:val="D7DF7A9F"/>
    <w:rsid w:val="DA7CF774"/>
    <w:rsid w:val="DADD6A5B"/>
    <w:rsid w:val="DB5E4CF0"/>
    <w:rsid w:val="DBF7E64E"/>
    <w:rsid w:val="DCFF77CD"/>
    <w:rsid w:val="DDE7DE8A"/>
    <w:rsid w:val="DEFDA465"/>
    <w:rsid w:val="DFADF8D4"/>
    <w:rsid w:val="DFAF49A6"/>
    <w:rsid w:val="DFB54C9C"/>
    <w:rsid w:val="DFB74AB0"/>
    <w:rsid w:val="DFEE2723"/>
    <w:rsid w:val="DFF36B16"/>
    <w:rsid w:val="DFF82D91"/>
    <w:rsid w:val="DFFB2520"/>
    <w:rsid w:val="DFFF9F2E"/>
    <w:rsid w:val="E1EE3D3A"/>
    <w:rsid w:val="E5F32E1A"/>
    <w:rsid w:val="E63E9DBC"/>
    <w:rsid w:val="E6B87732"/>
    <w:rsid w:val="E7DC1653"/>
    <w:rsid w:val="EBEEEEFB"/>
    <w:rsid w:val="EBFD2983"/>
    <w:rsid w:val="ED3F0A54"/>
    <w:rsid w:val="EDE5354B"/>
    <w:rsid w:val="EEF6AD7E"/>
    <w:rsid w:val="EF372338"/>
    <w:rsid w:val="EF8BBB38"/>
    <w:rsid w:val="EFCD33E7"/>
    <w:rsid w:val="EFE7B7DF"/>
    <w:rsid w:val="EFFBC76B"/>
    <w:rsid w:val="EFFF3663"/>
    <w:rsid w:val="EFFF6745"/>
    <w:rsid w:val="EFFFC0A7"/>
    <w:rsid w:val="F1D7C0B0"/>
    <w:rsid w:val="F5E6AB2C"/>
    <w:rsid w:val="F67FE227"/>
    <w:rsid w:val="F6DFA9C9"/>
    <w:rsid w:val="F727C602"/>
    <w:rsid w:val="F7D2B6D4"/>
    <w:rsid w:val="F7EF3963"/>
    <w:rsid w:val="F7FDC1FF"/>
    <w:rsid w:val="F7FF2EC2"/>
    <w:rsid w:val="FB6EAD09"/>
    <w:rsid w:val="FBEFE868"/>
    <w:rsid w:val="FBF8241D"/>
    <w:rsid w:val="FBFB76D8"/>
    <w:rsid w:val="FBFDACC8"/>
    <w:rsid w:val="FBFECF99"/>
    <w:rsid w:val="FC0D7047"/>
    <w:rsid w:val="FC27368C"/>
    <w:rsid w:val="FC79DF31"/>
    <w:rsid w:val="FCB2D23D"/>
    <w:rsid w:val="FCC1C3A0"/>
    <w:rsid w:val="FD7BD201"/>
    <w:rsid w:val="FEFE426C"/>
    <w:rsid w:val="FEFF184D"/>
    <w:rsid w:val="FEFF9588"/>
    <w:rsid w:val="FF17C1A9"/>
    <w:rsid w:val="FF2FFE77"/>
    <w:rsid w:val="FF3DBDD0"/>
    <w:rsid w:val="FF795930"/>
    <w:rsid w:val="FF7F82AA"/>
    <w:rsid w:val="FF7F9620"/>
    <w:rsid w:val="FF9EA3A9"/>
    <w:rsid w:val="FF9F2978"/>
    <w:rsid w:val="FFB70F08"/>
    <w:rsid w:val="FFDD2A6C"/>
    <w:rsid w:val="FFDDCA9D"/>
    <w:rsid w:val="FFDFDB63"/>
    <w:rsid w:val="FFF64044"/>
    <w:rsid w:val="FFF6C145"/>
    <w:rsid w:val="FFF73C24"/>
    <w:rsid w:val="FFF7CAD3"/>
    <w:rsid w:val="FFFA733B"/>
    <w:rsid w:val="FFFD619D"/>
    <w:rsid w:val="FFFDC142"/>
    <w:rsid w:val="FFFF2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overflowPunct w:val="0"/>
      <w:spacing w:line="600" w:lineRule="exact"/>
      <w:ind w:firstLine="880" w:firstLineChars="200"/>
      <w:outlineLvl w:val="0"/>
    </w:pPr>
    <w:rPr>
      <w:rFonts w:eastAsia="黑体" w:asciiTheme="minorAscii" w:hAnsiTheme="minorAscii"/>
      <w:kern w:val="44"/>
      <w:sz w:val="32"/>
    </w:rPr>
  </w:style>
  <w:style w:type="paragraph" w:styleId="3">
    <w:name w:val="heading 2"/>
    <w:basedOn w:val="1"/>
    <w:next w:val="1"/>
    <w:unhideWhenUsed/>
    <w:qFormat/>
    <w:uiPriority w:val="0"/>
    <w:pPr>
      <w:keepNext/>
      <w:keepLines/>
      <w:kinsoku w:val="0"/>
      <w:overflowPunct w:val="0"/>
      <w:adjustRightInd w:val="0"/>
      <w:snapToGrid w:val="0"/>
      <w:ind w:firstLine="720"/>
      <w:outlineLvl w:val="1"/>
    </w:pPr>
    <w:rPr>
      <w:rFonts w:eastAsia="楷体_GB2312" w:asciiTheme="majorHAnsi" w:hAnsiTheme="majorHAnsi" w:cstheme="majorBidi"/>
      <w:bCs/>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toa heading"/>
    <w:basedOn w:val="1"/>
    <w:next w:val="1"/>
    <w:qFormat/>
    <w:uiPriority w:val="0"/>
    <w:rPr>
      <w:rFonts w:ascii="Arial" w:hAnsi="Arial" w:eastAsia="宋体" w:cs="Times New Roman"/>
      <w:sz w:val="32"/>
    </w:rPr>
  </w:style>
  <w:style w:type="paragraph" w:styleId="6">
    <w:name w:val="annotation text"/>
    <w:basedOn w:val="1"/>
    <w:qFormat/>
    <w:uiPriority w:val="0"/>
    <w:pPr>
      <w:jc w:val="left"/>
    </w:pPr>
  </w:style>
  <w:style w:type="paragraph" w:styleId="7">
    <w:name w:val="Body Text"/>
    <w:basedOn w:val="1"/>
    <w:next w:val="1"/>
    <w:semiHidden/>
    <w:qFormat/>
    <w:uiPriority w:val="0"/>
    <w:rPr>
      <w:rFonts w:ascii="FangSong_GB2312" w:hAnsi="FangSong_GB2312" w:eastAsia="FangSong_GB2312" w:cs="FangSong_GB2312"/>
      <w:sz w:val="31"/>
      <w:szCs w:val="31"/>
      <w:lang w:val="en-US" w:eastAsia="en-US" w:bidi="ar-SA"/>
    </w:rPr>
  </w:style>
  <w:style w:type="paragraph" w:styleId="8">
    <w:name w:val="Body Text Indent"/>
    <w:basedOn w:val="1"/>
    <w:qFormat/>
    <w:uiPriority w:val="0"/>
    <w:pPr>
      <w:spacing w:after="120" w:afterLines="0" w:afterAutospacing="0"/>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next w:val="1"/>
    <w:qFormat/>
    <w:uiPriority w:val="0"/>
    <w:pPr>
      <w:snapToGrid w:val="0"/>
      <w:jc w:val="left"/>
    </w:pPr>
    <w:rPr>
      <w:rFonts w:cs="Calibri"/>
      <w:sz w:val="18"/>
      <w:szCs w:val="21"/>
    </w:rPr>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8"/>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Emphasis"/>
    <w:basedOn w:val="18"/>
    <w:qFormat/>
    <w:uiPriority w:val="0"/>
    <w:rPr>
      <w:i/>
    </w:rPr>
  </w:style>
  <w:style w:type="paragraph" w:customStyle="1" w:styleId="21">
    <w:name w:val="标4"/>
    <w:basedOn w:val="22"/>
    <w:next w:val="1"/>
    <w:qFormat/>
    <w:uiPriority w:val="99"/>
    <w:pPr>
      <w:spacing w:before="240"/>
      <w:outlineLvl w:val="3"/>
    </w:pPr>
    <w:rPr>
      <w:rFonts w:cs="Arial"/>
    </w:rPr>
  </w:style>
  <w:style w:type="paragraph" w:customStyle="1" w:styleId="22">
    <w:name w:val="标3"/>
    <w:basedOn w:val="1"/>
    <w:qFormat/>
    <w:uiPriority w:val="99"/>
    <w:pPr>
      <w:adjustRightInd w:val="0"/>
      <w:spacing w:line="240" w:lineRule="exact"/>
      <w:jc w:val="left"/>
      <w:outlineLvl w:val="2"/>
    </w:pPr>
    <w:rPr>
      <w:rFonts w:ascii="Arial" w:hAnsi="Arial"/>
      <w:b/>
      <w:bCs/>
      <w:kern w:val="24"/>
      <w:sz w:val="24"/>
    </w:rPr>
  </w:style>
  <w:style w:type="table" w:customStyle="1" w:styleId="23">
    <w:name w:val="网格型4"/>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
    <w:name w:val="正文文字"/>
    <w:basedOn w:val="7"/>
    <w:next w:val="1"/>
    <w:qFormat/>
    <w:uiPriority w:val="0"/>
    <w:pPr>
      <w:ind w:firstLine="200"/>
    </w:pPr>
    <w:rPr>
      <w:rFonts w:ascii="仿宋_GB2312" w:hAnsi="仿宋_GB2312"/>
      <w:color w:val="000000"/>
      <w:sz w:val="32"/>
      <w:szCs w:val="32"/>
      <w:lang w:val="en-US" w:eastAsia="zh-CN" w:bidi="ar-SA"/>
    </w:rPr>
  </w:style>
  <w:style w:type="character" w:customStyle="1" w:styleId="25">
    <w:name w:val="font51"/>
    <w:basedOn w:val="18"/>
    <w:qFormat/>
    <w:uiPriority w:val="0"/>
    <w:rPr>
      <w:rFonts w:hint="eastAsia" w:ascii="楷体_GB2312" w:eastAsia="楷体_GB2312" w:cs="楷体_GB2312"/>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246c18a3-809c-4fc7-b154-4d389724502e</errorID>
      <errorWord xmlns="http://schemas.wps.cn/vas-ai-hub/contract-review">成色</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色彩</item>
      </candidateList>
      <explain xmlns="http://schemas.wps.cn/vas-ai-hub/contract-review">句子可能没有遵循时空、逻辑顺序，或者介词、关联词等位置不当。</explain>
      <paraID xmlns="http://schemas.wps.cn/vas-ai-hub/contract-review">5389D03A</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347b6a0b-82dd-4e81-9ab6-1063d258aea0</errorID>
      <errorWord xmlns="http://schemas.wps.cn/vas-ai-hub/contract-review">文化部</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文化和旅游部</item>
      </candidateList>
      <explain xmlns="http://schemas.wps.cn/vas-ai-hub/contract-review"/>
      <paraID xmlns="http://schemas.wps.cn/vas-ai-hub/contract-review">5389D03A</paraID>
      <start xmlns="http://schemas.wps.cn/vas-ai-hub/contract-review">300</start>
      <end xmlns="http://schemas.wps.cn/vas-ai-hub/contract-review">303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f0134f67-b13d-47c9-9a95-6f4bb3f548d4</errorID>
      <errorWord xmlns="http://schemas.wps.cn/vas-ai-hub/contract-review">发展中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发展</item>
      </candidateList>
      <explain xmlns="http://schemas.wps.cn/vas-ai-hub/contract-review">〈动〉❶事物由小到大、由简单到复杂、由低级到高级的变化：事态还在～｜社会～规律。❷扩大（组织、规模等）：～新会员｜～轻纺工业。</explain>
      <paraID xmlns="http://schemas.wps.cn/vas-ai-hub/contract-review"> E7E8383</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32f6fe76-8d06-4f5b-a8d6-978644302771</errorID>
      <errorWord xmlns="http://schemas.wps.cn/vas-ai-hub/contract-review">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对较</item>
      </candidateList>
      <explain xmlns="http://schemas.wps.cn/vas-ai-hub/contract-review"/>
      <paraID xmlns="http://schemas.wps.cn/vas-ai-hub/contract-review"> E7E8383</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a60b0dc7-5769-4031-974a-4d3b96ae75cc</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 E7E8383</paraID>
      <start xmlns="http://schemas.wps.cn/vas-ai-hub/contract-review">162</start>
      <end xmlns="http://schemas.wps.cn/vas-ai-hub/contract-review">163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962faf19-264a-4224-8b81-494b3eea2e40</errorID>
      <errorWord xmlns="http://schemas.wps.cn/vas-ai-hub/contract-review">经济实力、科技实力、综合竞争力大幅跃升</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经济实力、科技实力、综合国力大幅跃升</item>
      </candidateList>
      <explain xmlns="http://schemas.wps.cn/vas-ai-hub/contract-review">词汇“经济实力、科技实力、综合国力大幅跃升”在特定场景下为固定表述形式，请确认此处的“经济实力、科技实力、综合竞争力大幅跃升”是否存在不当。</explain>
      <paraID xmlns="http://schemas.wps.cn/vas-ai-hub/contract-review">17F02D6D</paraID>
      <start xmlns="http://schemas.wps.cn/vas-ai-hub/contract-review">10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32406208-8a0e-46c8-8def-fbdfb42e5c8d</errorID>
      <errorWord xmlns="http://schemas.wps.cn/vas-ai-hub/contract-review">基本实现治理体系和治理能力现代化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基本实现国家治理体系和治理能力现代化</item>
      </candidateList>
      <explain xmlns="http://schemas.wps.cn/vas-ai-hub/contract-review">词汇“基本实现国家治理体系和治理能力现代化”在特定场景下为固定表述形式，请确认此处的“基本实现治理体系和治理能力现代化”是否存在不当。</explain>
      <paraID xmlns="http://schemas.wps.cn/vas-ai-hub/contract-review">17F02D6D</paraID>
      <start xmlns="http://schemas.wps.cn/vas-ai-hub/contract-review">60</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42ae03ad-89e5-4ad6-adc7-607f6f36de19</errorID>
      <errorWord xmlns="http://schemas.wps.cn/vas-ai-hub/contract-review">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态</item>
      </candidateList>
      <explain xmlns="http://schemas.wps.cn/vas-ai-hub/contract-review"/>
      <paraID xmlns="http://schemas.wps.cn/vas-ai-hub/contract-review">17F02D6D</paraID>
      <start xmlns="http://schemas.wps.cn/vas-ai-hub/contract-review">197</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c151a6dc-4174-4dc8-9396-17e061ede2e4</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14B87F09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7b2b6249-9e25-48ba-b5b3-0df29b7fce35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72D6ED98</paraID>
      <start xmlns="http://schemas.wps.cn/vas-ai-hub/contract-review">170</start>
      <end xmlns="http://schemas.wps.cn/vas-ai-hub/contract-review">171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66d9caba-f313-4e85-8638-6d6caf057df8</errorID>
      <errorWord xmlns="http://schemas.wps.cn/vas-ai-hub/contract-review">完善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规范</item>
      </candidateList>
      <explain xmlns="http://schemas.wps.cn/vas-ai-hub/contract-review">“完善～开展”搭配不当，建议修改为“规范～开展”。</explain>
      <paraID xmlns="http://schemas.wps.cn/vas-ai-hub/contract-review">49FB9448</paraID>
      <start xmlns="http://schemas.wps.cn/vas-ai-hub/contract-review">149</start>
      <end xmlns="http://schemas.wps.cn/vas-ai-hub/contract-review">151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9f13c0ba-3462-4c48-9189-7738dd110296</errorID>
      <errorWord xmlns="http://schemas.wps.cn/vas-ai-hub/contract-review">深化区属国企改革</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深化国资国企改革</item>
      </candidateList>
      <explain xmlns="http://schemas.wps.cn/vas-ai-hub/contract-review">词汇“深化国资国企改革”在特定场景下为固定表述形式，请确认此处的“深化区属国企改革”是否存在不当。</explain>
      <paraID xmlns="http://schemas.wps.cn/vas-ai-hub/contract-review">1BB92223</paraID>
      <start xmlns="http://schemas.wps.cn/vas-ai-hub/contract-review">11</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8429862f-cf68-4f9c-a882-36ca5d12cba1</errorID>
      <errorWord xmlns="http://schemas.wps.cn/vas-ai-hub/contract-review">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陶区</item>
      </candidateList>
      <explain xmlns="http://schemas.wps.cn/vas-ai-hub/contract-review"/>
      <paraID xmlns="http://schemas.wps.cn/vas-ai-hub/contract-review">792D9386</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b9c9c73a-9259-4fdd-b855-fbebb5b84f01</errorID>
      <errorWord xmlns="http://schemas.wps.cn/vas-ai-hub/contract-review">农场、集体经济组织</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农村集体经济组织</item>
      </candidateList>
      <explain xmlns="http://schemas.wps.cn/vas-ai-hub/contract-review">词汇“农村集体经济组织”在特定场景下为固定表述形式，请确认此处的“农场、集体经济组织”是否存在不当。</explain>
      <paraID xmlns="http://schemas.wps.cn/vas-ai-hub/contract-review">5639223C</paraID>
      <start xmlns="http://schemas.wps.cn/vas-ai-hub/contract-review">85</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81f0a27f-d46e-4c21-a825-515ce62ae6eb</errorID>
      <errorWord xmlns="http://schemas.wps.cn/vas-ai-hub/contract-review">、和</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和</item>
      </candidateList>
      <explain xmlns="http://schemas.wps.cn/vas-ai-hub/contract-review">“及”“和”“等”连词前不宜使用顿号，建议删除（或使用逗号）。</explain>
      <paraID xmlns="http://schemas.wps.cn/vas-ai-hub/contract-review">25412A27</paraID>
      <start xmlns="http://schemas.wps.cn/vas-ai-hub/contract-review">53</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c7d13d9b-833b-458a-9c8b-31d068817c6d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
      <paraID xmlns="http://schemas.wps.cn/vas-ai-hub/contract-review">4056C9D3</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a104ada4-a512-48d4-97b4-a324d59c7a02</errorID>
      <errorWord xmlns="http://schemas.wps.cn/vas-ai-hub/contract-review">低碳发展经济体系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低碳循环发展经济体系</item>
      </candidateList>
      <explain xmlns="http://schemas.wps.cn/vas-ai-hub/contract-review"/>
      <paraID xmlns="http://schemas.wps.cn/vas-ai-hub/contract-review">4990BA03</paraID>
      <start xmlns="http://schemas.wps.cn/vas-ai-hub/contract-review">54</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f7619345-f2a5-4c03-9998-21707069cfb0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当引号中还需要使用引号时，外面一层用双引号，里面一层用单引号。</explain>
      <paraID xmlns="http://schemas.wps.cn/vas-ai-hub/contract-review">4DF02EC3</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f1e967c0-27f3-4783-a68c-93bfd846bd48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当引号中还需要使用引号时，外面一层用双引号，里面一层用单引号。</explain>
      <paraID xmlns="http://schemas.wps.cn/vas-ai-hub/contract-review">4DF02EC3</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e25811-1631-4c19-82b8-4409b9f716a9}">
  <ds:schemaRefs/>
</ds:datastoreItem>
</file>

<file path=docProps/app.xml><?xml version="1.0" encoding="utf-8"?>
<Properties xmlns="http://schemas.openxmlformats.org/officeDocument/2006/extended-properties" xmlns:vt="http://schemas.openxmlformats.org/officeDocument/2006/docPropsVTypes">
  <Template>Normal.dotm</Template>
  <Pages>89</Pages>
  <Words>6978</Words>
  <Characters>7194</Characters>
  <Lines>0</Lines>
  <Paragraphs>0</Paragraphs>
  <TotalTime>0</TotalTime>
  <ScaleCrop>false</ScaleCrop>
  <LinksUpToDate>false</LinksUpToDate>
  <CharactersWithSpaces>7452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2025-11-05T07:58:00Z</dcterms:created>
  <dc:creator>管理员</dc:creator>
  <cp:lastModifiedBy>遇见花开</cp:lastModifiedBy>
  <cp:lastPrinted>2026-02-12T23:53:00Z</cp:lastPrinted>
  <dcterms:modified xsi:type="dcterms:W3CDTF">2026-06-30T09:03:01Z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73E367776FA44DEF8BD18AA43F1ACBD3_13</vt:lpwstr>
  </property>
  <property fmtid="{D5CDD505-2E9C-101B-9397-08002B2CF9AE}" pid="4" name="KSOTemplateDocerSaveRecord">
    <vt:lpwstr>eyJoZGlkIjoiZjkyM2EyZmFkMmI2ZmUzZjAwZGNlNjI0ZmQzYTA3ZWIiLCJ1c2VySWQiOiI0NTA4MTE2NzkifQ==</vt:lpwstr>
  </property>
</Properties>
</file>