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DDC3">
      <w:pPr>
        <w:rPr>
          <w:rFonts w:ascii="Times New Roman" w:hAnsi="Times New Roman" w:cs="Times New Roman"/>
          <w:szCs w:val="32"/>
        </w:rPr>
      </w:pPr>
      <w:bookmarkStart w:id="0" w:name="_GoBack"/>
      <w:bookmarkEnd w:id="0"/>
    </w:p>
    <w:p w14:paraId="10C776F9">
      <w:pPr>
        <w:rPr>
          <w:rFonts w:ascii="Times New Roman" w:hAnsi="Times New Roman" w:cs="Times New Roman"/>
          <w:szCs w:val="32"/>
        </w:rPr>
      </w:pPr>
    </w:p>
    <w:p w14:paraId="2CF9ACC6">
      <w:pPr>
        <w:rPr>
          <w:rFonts w:ascii="Times New Roman" w:hAnsi="Times New Roman" w:cs="Times New Roman"/>
          <w:szCs w:val="32"/>
        </w:rPr>
      </w:pPr>
    </w:p>
    <w:p w14:paraId="6DB63297">
      <w:pPr>
        <w:rPr>
          <w:rFonts w:ascii="Times New Roman" w:hAnsi="Times New Roman" w:cs="Times New Roman"/>
          <w:szCs w:val="32"/>
        </w:rPr>
      </w:pPr>
    </w:p>
    <w:p w14:paraId="312BC8CA">
      <w:pPr>
        <w:rPr>
          <w:rFonts w:ascii="Times New Roman" w:hAnsi="Times New Roman" w:cs="Times New Roman"/>
          <w:szCs w:val="32"/>
        </w:rPr>
      </w:pPr>
    </w:p>
    <w:p w14:paraId="08C8F92D">
      <w:pPr>
        <w:rPr>
          <w:rFonts w:ascii="Times New Roman" w:hAnsi="Times New Roman" w:cs="Times New Roman"/>
          <w:szCs w:val="32"/>
        </w:rPr>
      </w:pPr>
    </w:p>
    <w:p w14:paraId="0149B3F8">
      <w:pPr>
        <w:rPr>
          <w:rFonts w:ascii="Times New Roman" w:hAnsi="Times New Roman" w:cs="Times New Roman"/>
          <w:szCs w:val="32"/>
        </w:rPr>
      </w:pPr>
    </w:p>
    <w:p w14:paraId="35615A5C">
      <w:pPr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菏定政</w:t>
      </w:r>
      <w:r>
        <w:rPr>
          <w:rFonts w:ascii="Times New Roman" w:hAnsi="Times New Roman" w:cs="Times New Roman"/>
          <w:szCs w:val="24"/>
        </w:rPr>
        <w:t>办字</w:t>
      </w:r>
      <w:r>
        <w:rPr>
          <w:rFonts w:ascii="Times New Roman" w:hAnsi="Times New Roman" w:cs="Times New Roman"/>
          <w:szCs w:val="32"/>
        </w:rPr>
        <w:t>〔2020〕1号</w:t>
      </w:r>
    </w:p>
    <w:p w14:paraId="0DEB3A9A">
      <w:pPr>
        <w:jc w:val="center"/>
        <w:rPr>
          <w:rFonts w:ascii="Times New Roman" w:hAnsi="Times New Roman" w:cs="Times New Roman"/>
          <w:szCs w:val="32"/>
        </w:rPr>
      </w:pPr>
    </w:p>
    <w:p w14:paraId="43271607">
      <w:pPr>
        <w:jc w:val="center"/>
        <w:rPr>
          <w:rFonts w:ascii="Times New Roman" w:hAnsi="Times New Roman" w:cs="Times New Roman"/>
          <w:szCs w:val="32"/>
        </w:rPr>
      </w:pPr>
    </w:p>
    <w:p w14:paraId="66238234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菏泽市定陶区人民政府办公室</w:t>
      </w:r>
    </w:p>
    <w:p w14:paraId="0772FF99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关于印发菏泽市定陶区畜禽养殖禁养区</w:t>
      </w:r>
    </w:p>
    <w:p w14:paraId="2FAA3259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优化调整方案的通知</w:t>
      </w:r>
    </w:p>
    <w:p w14:paraId="3ABFCD5C">
      <w:pPr>
        <w:pStyle w:val="5"/>
        <w:spacing w:beforeAutospacing="0" w:afterAutospacing="0"/>
        <w:jc w:val="center"/>
        <w:rPr>
          <w:rFonts w:ascii="Times New Roman" w:hAnsi="Times New Roman" w:eastAsia="文鼎CS大宋"/>
          <w:sz w:val="44"/>
          <w:szCs w:val="44"/>
        </w:rPr>
      </w:pPr>
    </w:p>
    <w:p w14:paraId="623DF48C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各镇人民政府、街道办事处，区政府有关部门：</w:t>
      </w:r>
    </w:p>
    <w:p w14:paraId="109F83E8">
      <w:pPr>
        <w:ind w:firstLine="638" w:firstLineChars="20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《菏泽市定陶区畜禽养殖禁养区优化调整方案》已经区政府同意，现印发给你们，请结合实际，认真贯彻落实。</w:t>
      </w:r>
    </w:p>
    <w:p w14:paraId="2DDA86D4">
      <w:pPr>
        <w:ind w:firstLine="638" w:firstLineChars="202"/>
        <w:rPr>
          <w:rFonts w:ascii="Times New Roman" w:hAnsi="Times New Roman" w:cs="Times New Roman"/>
          <w:szCs w:val="32"/>
        </w:rPr>
      </w:pPr>
    </w:p>
    <w:p w14:paraId="4576B455">
      <w:pPr>
        <w:ind w:firstLine="638" w:firstLineChars="202"/>
        <w:rPr>
          <w:rFonts w:ascii="Times New Roman" w:hAnsi="Times New Roman" w:cs="Times New Roman"/>
          <w:szCs w:val="32"/>
        </w:rPr>
      </w:pPr>
    </w:p>
    <w:p w14:paraId="23840C44">
      <w:pPr>
        <w:ind w:firstLine="638" w:firstLineChars="202"/>
        <w:rPr>
          <w:rFonts w:ascii="Times New Roman" w:hAnsi="Times New Roman" w:cs="Times New Roman"/>
          <w:szCs w:val="32"/>
        </w:rPr>
      </w:pPr>
    </w:p>
    <w:p w14:paraId="75E59C6E">
      <w:pPr>
        <w:wordWrap w:val="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菏泽市定陶区人民政府办公室　</w:t>
      </w:r>
    </w:p>
    <w:p w14:paraId="29444D7D">
      <w:pPr>
        <w:wordWrap w:val="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2020年2月10日　　　　</w:t>
      </w:r>
    </w:p>
    <w:p w14:paraId="5B8BDE78">
      <w:pPr>
        <w:pStyle w:val="5"/>
        <w:spacing w:beforeAutospacing="0" w:afterAutospacing="0"/>
        <w:jc w:val="both"/>
        <w:rPr>
          <w:rFonts w:ascii="Times New Roman" w:hAnsi="Times New Roman"/>
          <w:sz w:val="31"/>
          <w:szCs w:val="31"/>
        </w:rPr>
      </w:pPr>
    </w:p>
    <w:p w14:paraId="764C9B9C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菏泽市定陶区畜禽养殖禁养区</w:t>
      </w:r>
    </w:p>
    <w:p w14:paraId="7DFCE837">
      <w:pPr>
        <w:spacing w:line="62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优化调整方案</w:t>
      </w:r>
    </w:p>
    <w:p w14:paraId="76EF89E7">
      <w:pPr>
        <w:pStyle w:val="5"/>
        <w:spacing w:beforeAutospacing="0" w:afterAutospacing="0"/>
        <w:jc w:val="both"/>
        <w:rPr>
          <w:rFonts w:ascii="Times New Roman" w:hAnsi="Times New Roman"/>
          <w:sz w:val="31"/>
          <w:szCs w:val="31"/>
        </w:rPr>
      </w:pPr>
    </w:p>
    <w:p w14:paraId="0D03DE4D">
      <w:pPr>
        <w:ind w:firstLine="632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为推进农村环境污染防治，规范和优化养殖场点布局，科学划定禁养区，确保我区畜禽养殖业稳定持续健康发展，根据国家和地方有关法律法规，结合我区实际，制定本方案。</w:t>
      </w:r>
    </w:p>
    <w:p w14:paraId="2D969CE7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黑体"/>
          <w:szCs w:val="32"/>
        </w:rPr>
        <w:t>一、指导思想</w:t>
      </w:r>
    </w:p>
    <w:p w14:paraId="44479077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/>
          <w:szCs w:val="32"/>
        </w:rPr>
        <w:t>坚持以生态文明发展观为指导，以富民强区，实现定陶经济可持续发展，构建和谐社会为目标；以环境保护法律、法规为依据；以畜禽养殖业可持续发展和改善农村生态环境质量为切入点。结合我区生态建设和环境保护要求，调整优化全区畜禽养殖业的生产布局，开展畜禽养殖污染综合防治，改善生态环境质量，保障人民群众身体健康，实现畜禽养殖废弃物减量化、无害化、资源化和生态化，促进畜牧业生产与生态环境全面协调发展。</w:t>
      </w:r>
    </w:p>
    <w:p w14:paraId="317D81DC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黑体"/>
          <w:szCs w:val="32"/>
        </w:rPr>
        <w:t>二、划分原则</w:t>
      </w:r>
    </w:p>
    <w:p w14:paraId="7FB9B1B7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/>
          <w:szCs w:val="32"/>
        </w:rPr>
        <w:t>（一）生态环境保护与畜禽养殖业持续健康协调发展的原则；</w:t>
      </w:r>
    </w:p>
    <w:p w14:paraId="1DF75962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/>
          <w:szCs w:val="32"/>
        </w:rPr>
        <w:t>（二）生态环境保护与经济社会发展相协调统一原则；</w:t>
      </w:r>
    </w:p>
    <w:p w14:paraId="5521B088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（三）维护群众合法权益，改善生产生活环境质量原则；</w:t>
      </w:r>
    </w:p>
    <w:p w14:paraId="591D8707">
      <w:pPr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（四）流域、区域综合考虑、总体协调的原则；</w:t>
      </w:r>
    </w:p>
    <w:p w14:paraId="3E48778F">
      <w:pPr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（五）按照“既保证应划尽划、又不得超范围划定”的原则；</w:t>
      </w:r>
    </w:p>
    <w:p w14:paraId="3E59A658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黑体"/>
          <w:szCs w:val="32"/>
        </w:rPr>
        <w:t>三、主要依据</w:t>
      </w:r>
    </w:p>
    <w:p w14:paraId="1AC63372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（一）《中华人民共和国环境保护法》；</w:t>
      </w:r>
    </w:p>
    <w:p w14:paraId="7E2A202F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（二）《中华人民共和国水污染防治法》；</w:t>
      </w:r>
    </w:p>
    <w:p w14:paraId="6DCE34F5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（三）《中华人民共和国畜牧法》；</w:t>
      </w:r>
    </w:p>
    <w:p w14:paraId="6906AC98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（四）《畜禽规模养殖污染防治条例》；</w:t>
      </w:r>
    </w:p>
    <w:p w14:paraId="42A8F158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（五）《</w:t>
      </w:r>
      <w:r>
        <w:rPr>
          <w:rFonts w:ascii="Times New Roman" w:hAnsi="Times New Roman" w:eastAsia="仿宋"/>
          <w:szCs w:val="32"/>
          <w:lang w:bidi="ar"/>
        </w:rPr>
        <w:t>山东省水污染防治条例</w:t>
      </w:r>
      <w:r>
        <w:rPr>
          <w:rFonts w:ascii="Times New Roman" w:hAnsi="Times New Roman"/>
          <w:szCs w:val="32"/>
        </w:rPr>
        <w:t>》；</w:t>
      </w:r>
    </w:p>
    <w:p w14:paraId="40F37C9A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（六）《菏泽市水污染防治条例》；</w:t>
      </w:r>
    </w:p>
    <w:p w14:paraId="3A9B2C2C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（七）《水污染防治行动计划》；</w:t>
      </w:r>
    </w:p>
    <w:p w14:paraId="5E1AFEC2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（八）《饮用水源保护区划分技术规范》；</w:t>
      </w:r>
    </w:p>
    <w:p w14:paraId="34E3CC49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（九）《畜禽养殖禁养区划定技术指南》；</w:t>
      </w:r>
    </w:p>
    <w:p w14:paraId="5D775844">
      <w:pPr>
        <w:pStyle w:val="5"/>
        <w:spacing w:beforeAutospacing="0" w:afterAutospacing="0"/>
        <w:ind w:firstLine="632" w:firstLineChars="20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/>
          <w:szCs w:val="32"/>
        </w:rPr>
        <w:t>（十）其他有关法律、法规和技术规范。</w:t>
      </w:r>
    </w:p>
    <w:p w14:paraId="10F95869">
      <w:pPr>
        <w:ind w:firstLine="632" w:firstLineChars="200"/>
        <w:rPr>
          <w:rFonts w:ascii="Times New Roman" w:hAnsi="Times New Roman" w:eastAsia="黑体" w:cs="Times New Roman"/>
          <w:kern w:val="0"/>
          <w:szCs w:val="32"/>
        </w:rPr>
      </w:pPr>
      <w:r>
        <w:rPr>
          <w:rFonts w:ascii="Times New Roman" w:hAnsi="Times New Roman" w:eastAsia="黑体" w:cs="Times New Roman"/>
          <w:kern w:val="0"/>
          <w:szCs w:val="32"/>
        </w:rPr>
        <w:t>四、畜禽养殖禁养区调整情况</w:t>
      </w:r>
    </w:p>
    <w:p w14:paraId="21BD0CEA">
      <w:pPr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定陶区畜禽养殖区划分由禁养区、限养区和适养区三区，划分调整为禁养区和非禁养区二区划分。</w:t>
      </w:r>
    </w:p>
    <w:p w14:paraId="5699C90D">
      <w:pPr>
        <w:ind w:firstLine="632" w:firstLineChars="200"/>
        <w:rPr>
          <w:rFonts w:ascii="Times New Roman" w:hAnsi="Times New Roman" w:eastAsia="楷体_GB2312" w:cs="Times New Roman"/>
          <w:kern w:val="0"/>
          <w:szCs w:val="32"/>
        </w:rPr>
      </w:pPr>
      <w:r>
        <w:rPr>
          <w:rFonts w:ascii="Times New Roman" w:hAnsi="Times New Roman" w:eastAsia="楷体_GB2312" w:cs="Times New Roman"/>
          <w:kern w:val="0"/>
          <w:szCs w:val="32"/>
        </w:rPr>
        <w:t>（一）禁养区范围。</w:t>
      </w:r>
    </w:p>
    <w:p w14:paraId="7F56DEEE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微软雅黑"/>
          <w:szCs w:val="32"/>
        </w:rPr>
        <w:t>1．</w:t>
      </w:r>
      <w:r>
        <w:rPr>
          <w:rFonts w:ascii="Times New Roman" w:hAnsi="Times New Roman"/>
          <w:szCs w:val="32"/>
        </w:rPr>
        <w:t>刘楼水库饮用水源保护区边界500米范围内；田集水库边界500米范围内；《定陶区饮用水水源保护区划分方案技术报告》（定政复〔</w:t>
      </w:r>
      <w:r>
        <w:rPr>
          <w:rFonts w:ascii="Times New Roman" w:hAnsi="Times New Roman" w:eastAsia="微软雅黑"/>
          <w:szCs w:val="32"/>
        </w:rPr>
        <w:t>2018</w:t>
      </w:r>
      <w:r>
        <w:rPr>
          <w:rFonts w:ascii="Times New Roman" w:hAnsi="Times New Roman"/>
          <w:szCs w:val="32"/>
        </w:rPr>
        <w:t>〕</w:t>
      </w:r>
      <w:r>
        <w:rPr>
          <w:rFonts w:ascii="Times New Roman" w:hAnsi="Times New Roman" w:eastAsia="微软雅黑"/>
          <w:szCs w:val="32"/>
        </w:rPr>
        <w:t>124</w:t>
      </w:r>
      <w:r>
        <w:rPr>
          <w:rFonts w:ascii="Times New Roman" w:hAnsi="Times New Roman"/>
          <w:szCs w:val="32"/>
        </w:rPr>
        <w:t>号）划定的农村地下饮用水源保护区边界范围内；</w:t>
      </w:r>
    </w:p>
    <w:p w14:paraId="4A0D334F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微软雅黑"/>
          <w:szCs w:val="32"/>
        </w:rPr>
        <w:t>2．</w:t>
      </w:r>
      <w:r>
        <w:rPr>
          <w:rFonts w:ascii="Times New Roman" w:hAnsi="Times New Roman"/>
          <w:szCs w:val="32"/>
        </w:rPr>
        <w:t>重点河流（万福河、东渔河）两岸400米范围内，县级河长制确定的重点河流（菏曹运河、南渠河、店子河、定陶新河、仿山河）两岸300米范围内；</w:t>
      </w:r>
    </w:p>
    <w:p w14:paraId="648793D8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3．省级以上风景名胜区和文物保护单位（定陶王墓地〈王陵〉、左山寺遗址、官</w:t>
      </w:r>
      <w:r>
        <w:rPr>
          <w:rFonts w:hint="eastAsia" w:ascii="宋体" w:hAnsi="宋体" w:eastAsia="宋体" w:cs="宋体"/>
          <w:szCs w:val="32"/>
        </w:rPr>
        <w:t>堌</w:t>
      </w:r>
      <w:r>
        <w:rPr>
          <w:rFonts w:hint="eastAsia" w:hAnsi="仿宋_GB2312" w:cs="仿宋_GB2312"/>
          <w:szCs w:val="32"/>
        </w:rPr>
        <w:t>堆遗址、刘庄</w:t>
      </w:r>
      <w:r>
        <w:rPr>
          <w:rFonts w:hint="eastAsia" w:ascii="宋体" w:hAnsi="宋体" w:eastAsia="宋体" w:cs="宋体"/>
          <w:szCs w:val="32"/>
        </w:rPr>
        <w:t>堌</w:t>
      </w:r>
      <w:r>
        <w:rPr>
          <w:rFonts w:hint="eastAsia" w:hAnsi="仿宋_GB2312" w:cs="仿宋_GB2312"/>
          <w:szCs w:val="32"/>
        </w:rPr>
        <w:t>堆遗址、仿山墓群、戚姬寺遗址、范蠡墓、梁王台遗址、项梁墓、十里辅北</w:t>
      </w:r>
      <w:r>
        <w:rPr>
          <w:rFonts w:hint="eastAsia" w:ascii="宋体" w:hAnsi="宋体" w:eastAsia="宋体" w:cs="宋体"/>
          <w:szCs w:val="32"/>
        </w:rPr>
        <w:t>堌</w:t>
      </w:r>
      <w:r>
        <w:rPr>
          <w:rFonts w:hint="eastAsia" w:hAnsi="仿宋_GB2312" w:cs="仿宋_GB2312"/>
          <w:szCs w:val="32"/>
        </w:rPr>
        <w:t>堆遗址、面集墓群、定陶战役指挥部旧址）边界范围内；</w:t>
      </w:r>
    </w:p>
    <w:p w14:paraId="07ACF75B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/>
          <w:szCs w:val="32"/>
        </w:rPr>
        <w:t>4．菏泽机场规划区范围内；</w:t>
      </w:r>
    </w:p>
    <w:p w14:paraId="40AE25C8">
      <w:pPr>
        <w:ind w:firstLine="632" w:firstLineChars="200"/>
        <w:rPr>
          <w:rFonts w:ascii="Times New Roman" w:hAnsi="Times New Roman" w:eastAsia="微软雅黑" w:cs="Times New Roman"/>
          <w:szCs w:val="32"/>
        </w:rPr>
      </w:pPr>
      <w:r>
        <w:rPr>
          <w:rFonts w:ascii="Times New Roman" w:hAnsi="Times New Roman" w:eastAsia="微软雅黑" w:cs="Times New Roman"/>
          <w:szCs w:val="32"/>
        </w:rPr>
        <w:t>5．</w:t>
      </w:r>
      <w:r>
        <w:rPr>
          <w:rFonts w:ascii="Times New Roman" w:hAnsi="Times New Roman" w:cs="Times New Roman"/>
          <w:szCs w:val="32"/>
        </w:rPr>
        <w:t>城市建成区周边500米范围内；</w:t>
      </w:r>
    </w:p>
    <w:p w14:paraId="4D372264">
      <w:pPr>
        <w:ind w:firstLine="632" w:firstLineChars="200"/>
        <w:rPr>
          <w:rFonts w:ascii="Times New Roman" w:hAnsi="Times New Roman" w:eastAsia="微软雅黑" w:cs="Times New Roman"/>
          <w:szCs w:val="32"/>
        </w:rPr>
      </w:pPr>
      <w:r>
        <w:rPr>
          <w:rFonts w:ascii="Times New Roman" w:hAnsi="Times New Roman" w:eastAsia="微软雅黑" w:cs="Times New Roman"/>
          <w:szCs w:val="32"/>
        </w:rPr>
        <w:t>6．</w:t>
      </w:r>
      <w:r>
        <w:rPr>
          <w:rFonts w:ascii="Times New Roman" w:hAnsi="Times New Roman" w:cs="Times New Roman"/>
          <w:szCs w:val="32"/>
        </w:rPr>
        <w:t>镇政府（</w:t>
      </w:r>
      <w:r>
        <w:rPr>
          <w:rFonts w:ascii="Times New Roman" w:hAnsi="Times New Roman" w:cs="Times New Roman"/>
        </w:rPr>
        <w:t>街道办事处</w:t>
      </w:r>
      <w:r>
        <w:rPr>
          <w:rFonts w:ascii="Times New Roman" w:hAnsi="Times New Roman" w:cs="Times New Roman"/>
          <w:szCs w:val="32"/>
        </w:rPr>
        <w:t>）所在地建成区区域内；学校、医院等人口集中区周边500米范围内；</w:t>
      </w:r>
    </w:p>
    <w:p w14:paraId="336D1581">
      <w:pPr>
        <w:pStyle w:val="5"/>
        <w:spacing w:beforeAutospacing="0" w:afterAutospacing="0"/>
        <w:ind w:firstLine="632" w:firstLineChars="20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微软雅黑"/>
          <w:szCs w:val="32"/>
        </w:rPr>
        <w:t>7．</w:t>
      </w:r>
      <w:r>
        <w:rPr>
          <w:rFonts w:ascii="Times New Roman" w:hAnsi="Times New Roman"/>
          <w:szCs w:val="32"/>
        </w:rPr>
        <w:t>其他法律、法规、行政规章规定及区人民政府根据环境保护需要依法划定的区域。</w:t>
      </w:r>
    </w:p>
    <w:p w14:paraId="29FE3A33">
      <w:pPr>
        <w:ind w:firstLine="640"/>
        <w:rPr>
          <w:rFonts w:ascii="Times New Roman" w:hAnsi="Times New Roman" w:eastAsia="楷体_GB2312" w:cs="Times New Roman"/>
          <w:kern w:val="0"/>
          <w:szCs w:val="32"/>
        </w:rPr>
      </w:pPr>
      <w:r>
        <w:rPr>
          <w:rFonts w:ascii="Times New Roman" w:hAnsi="Times New Roman" w:eastAsia="楷体_GB2312" w:cs="Times New Roman"/>
          <w:kern w:val="0"/>
          <w:szCs w:val="32"/>
        </w:rPr>
        <w:t>（二）非禁养区范围。</w:t>
      </w:r>
    </w:p>
    <w:p w14:paraId="4DB9C9A1">
      <w:pPr>
        <w:ind w:firstLine="64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我区行政区域内除禁养区以外，符合相关规划、满足环境容量的区域均为畜禽非禁养区。</w:t>
      </w:r>
    </w:p>
    <w:p w14:paraId="6C88F966">
      <w:pPr>
        <w:pStyle w:val="5"/>
        <w:spacing w:beforeAutospacing="0" w:afterAutospacing="0"/>
        <w:ind w:firstLine="632" w:firstLineChars="20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黑体"/>
          <w:szCs w:val="32"/>
        </w:rPr>
        <w:t>五、工作要求</w:t>
      </w:r>
    </w:p>
    <w:p w14:paraId="50B63F27">
      <w:pPr>
        <w:pStyle w:val="5"/>
        <w:spacing w:beforeAutospacing="0" w:afterAutospacing="0"/>
        <w:ind w:firstLine="632" w:firstLineChars="20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/>
          <w:szCs w:val="32"/>
        </w:rPr>
        <w:t>（一）在禁养区，严禁新建、扩建各类畜禽养殖场。禁养区范围内已建成的畜禽养殖场（区），由区政府依法责令限期搬迁或关闭。</w:t>
      </w:r>
    </w:p>
    <w:p w14:paraId="13CF62F4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/>
          <w:szCs w:val="32"/>
        </w:rPr>
        <w:t>（二）各镇人民政府、街道办事处应严格按照定陶区畜禽养殖禁养区优化调整方案，结合本辖区发展规划，优化养殖场（区）布局，切实做好区域畜禽养殖业发展。</w:t>
      </w:r>
    </w:p>
    <w:p w14:paraId="5CF49802">
      <w:pPr>
        <w:pStyle w:val="5"/>
        <w:spacing w:beforeAutospacing="0" w:afterAutospacing="0"/>
        <w:ind w:firstLine="630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黑体"/>
          <w:szCs w:val="32"/>
        </w:rPr>
        <w:t>六、保障措施</w:t>
      </w:r>
    </w:p>
    <w:p w14:paraId="60A820CE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szCs w:val="32"/>
        </w:rPr>
        <w:t>（一）加强领导，落实责任。</w:t>
      </w:r>
      <w:r>
        <w:rPr>
          <w:rFonts w:ascii="Times New Roman" w:hAnsi="Times New Roman"/>
          <w:szCs w:val="32"/>
        </w:rPr>
        <w:t>畜禽养殖禁养区优化调整方案是保护和改善我区农业农村生态环境，保证畜牧业持续健康发展的依据。要根据划分要求，各镇街和职能部门将禁养区养殖场关闭和搬迁恢复生产相结合，切实落实生态保护责任，完成情况作为相关部门重要考核内容。</w:t>
      </w:r>
    </w:p>
    <w:p w14:paraId="540AB4D0">
      <w:pPr>
        <w:pStyle w:val="5"/>
        <w:spacing w:beforeAutospacing="0" w:afterAutospacing="0"/>
        <w:ind w:firstLine="630"/>
        <w:jc w:val="both"/>
        <w:rPr>
          <w:rFonts w:ascii="Times New Roman" w:hAnsi="Times New Roman" w:eastAsia="微软雅黑"/>
          <w:szCs w:val="32"/>
        </w:rPr>
      </w:pPr>
      <w:r>
        <w:rPr>
          <w:rFonts w:ascii="Times New Roman" w:hAnsi="Times New Roman" w:eastAsia="楷体"/>
          <w:szCs w:val="32"/>
        </w:rPr>
        <w:t>（二）广泛宣传，公众监督。</w:t>
      </w:r>
      <w:r>
        <w:rPr>
          <w:rFonts w:ascii="Times New Roman" w:hAnsi="Times New Roman"/>
          <w:szCs w:val="32"/>
        </w:rPr>
        <w:t>各镇人民政府、街道办事处、有关部门要充分利用广播、电视、报刊、网络等新闻媒体，广泛宣传畜禽粪污治理工作，努力营造全社会参与环境保护的浓厚范围；对生态养殖环境污染防治先进典型给予新闻宣传，营造良好的舆论氛围，为区域畜禽养殖健康发展营造良好氛围。</w:t>
      </w:r>
    </w:p>
    <w:p w14:paraId="4C291F63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 w:eastAsia="楷体_GB2312"/>
          <w:szCs w:val="32"/>
        </w:rPr>
        <w:t>（三）积极引导，严格执法。</w:t>
      </w:r>
      <w:r>
        <w:rPr>
          <w:rFonts w:ascii="Times New Roman" w:hAnsi="Times New Roman"/>
          <w:szCs w:val="32"/>
        </w:rPr>
        <w:t>区畜牧、农业农村等部门要加强对畜禽养殖业的指导和管理，引导养殖场和养殖户推行“养殖</w:t>
      </w:r>
      <w:r>
        <w:rPr>
          <w:rFonts w:ascii="Times New Roman" w:hAnsi="Times New Roman" w:eastAsia="微软雅黑"/>
          <w:szCs w:val="32"/>
        </w:rPr>
        <w:t>—</w:t>
      </w:r>
      <w:r>
        <w:rPr>
          <w:rFonts w:ascii="Times New Roman" w:hAnsi="Times New Roman"/>
          <w:szCs w:val="32"/>
        </w:rPr>
        <w:t>种植”生态养殖模式，最大限度实现畜禽养殖粪污综合利用。同时区生态环境部门要结合区农业、自然资源、畜牧、水务、公安等部门加大畜禽养殖业污染整治力度，严厉查处和打击各种养殖污染环境的违法行为，确保畜禽养殖业健康发展。</w:t>
      </w:r>
    </w:p>
    <w:p w14:paraId="06822D2F">
      <w:pPr>
        <w:pStyle w:val="5"/>
        <w:spacing w:beforeAutospacing="0" w:afterAutospacing="0"/>
        <w:ind w:firstLine="630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本方案自公布之日起实施。</w:t>
      </w:r>
    </w:p>
    <w:p w14:paraId="2E05B300">
      <w:pPr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br w:type="page"/>
      </w:r>
    </w:p>
    <w:p w14:paraId="6C2D9608">
      <w:pPr>
        <w:rPr>
          <w:rFonts w:ascii="Times New Roman" w:hAnsi="Times New Roman" w:cs="Times New Roman"/>
          <w:szCs w:val="32"/>
        </w:rPr>
      </w:pPr>
    </w:p>
    <w:p w14:paraId="04FE3990">
      <w:pPr>
        <w:rPr>
          <w:rFonts w:ascii="Times New Roman" w:hAnsi="Times New Roman" w:cs="Times New Roman"/>
          <w:szCs w:val="32"/>
        </w:rPr>
      </w:pPr>
    </w:p>
    <w:p w14:paraId="37C224E5">
      <w:pPr>
        <w:rPr>
          <w:rFonts w:ascii="Times New Roman" w:hAnsi="Times New Roman" w:cs="Times New Roman"/>
          <w:szCs w:val="32"/>
        </w:rPr>
      </w:pPr>
    </w:p>
    <w:p w14:paraId="3DE9CDE9">
      <w:pPr>
        <w:rPr>
          <w:rFonts w:ascii="Times New Roman" w:hAnsi="Times New Roman" w:cs="Times New Roman"/>
          <w:szCs w:val="32"/>
        </w:rPr>
      </w:pPr>
    </w:p>
    <w:p w14:paraId="6A5060E7">
      <w:pPr>
        <w:rPr>
          <w:rFonts w:ascii="Times New Roman" w:hAnsi="Times New Roman" w:cs="Times New Roman"/>
          <w:szCs w:val="32"/>
        </w:rPr>
      </w:pPr>
    </w:p>
    <w:p w14:paraId="082344AE">
      <w:pPr>
        <w:rPr>
          <w:rFonts w:ascii="Times New Roman" w:hAnsi="Times New Roman" w:cs="Times New Roman"/>
          <w:szCs w:val="32"/>
        </w:rPr>
      </w:pPr>
    </w:p>
    <w:p w14:paraId="6C4BFC40">
      <w:pPr>
        <w:rPr>
          <w:rFonts w:ascii="Times New Roman" w:hAnsi="Times New Roman" w:cs="Times New Roman"/>
          <w:szCs w:val="32"/>
        </w:rPr>
      </w:pPr>
    </w:p>
    <w:p w14:paraId="6CC81B08">
      <w:pPr>
        <w:rPr>
          <w:rFonts w:ascii="Times New Roman" w:hAnsi="Times New Roman" w:cs="Times New Roman"/>
          <w:szCs w:val="32"/>
        </w:rPr>
      </w:pPr>
    </w:p>
    <w:p w14:paraId="21695FF2">
      <w:pPr>
        <w:rPr>
          <w:rFonts w:ascii="Times New Roman" w:hAnsi="Times New Roman" w:cs="Times New Roman"/>
          <w:szCs w:val="32"/>
        </w:rPr>
      </w:pPr>
    </w:p>
    <w:p w14:paraId="168B3D3F">
      <w:pPr>
        <w:rPr>
          <w:rFonts w:ascii="Times New Roman" w:hAnsi="Times New Roman" w:cs="Times New Roman"/>
          <w:szCs w:val="32"/>
        </w:rPr>
      </w:pPr>
    </w:p>
    <w:p w14:paraId="72050B74">
      <w:pPr>
        <w:rPr>
          <w:rFonts w:ascii="Times New Roman" w:hAnsi="Times New Roman" w:cs="Times New Roman"/>
          <w:szCs w:val="32"/>
        </w:rPr>
      </w:pPr>
    </w:p>
    <w:p w14:paraId="62B44024">
      <w:pPr>
        <w:rPr>
          <w:rFonts w:ascii="Times New Roman" w:hAnsi="Times New Roman" w:cs="Times New Roman"/>
          <w:szCs w:val="32"/>
        </w:rPr>
      </w:pPr>
    </w:p>
    <w:p w14:paraId="0DE534D4">
      <w:pPr>
        <w:rPr>
          <w:rFonts w:ascii="Times New Roman" w:hAnsi="Times New Roman" w:cs="Times New Roman"/>
          <w:szCs w:val="32"/>
        </w:rPr>
      </w:pPr>
    </w:p>
    <w:p w14:paraId="52D79F26">
      <w:pPr>
        <w:rPr>
          <w:rFonts w:ascii="Times New Roman" w:hAnsi="Times New Roman" w:cs="Times New Roman"/>
          <w:szCs w:val="32"/>
        </w:rPr>
      </w:pPr>
    </w:p>
    <w:p w14:paraId="00C652BE">
      <w:pPr>
        <w:rPr>
          <w:rFonts w:ascii="Times New Roman" w:hAnsi="Times New Roman" w:cs="Times New Roman"/>
          <w:szCs w:val="32"/>
        </w:rPr>
      </w:pPr>
    </w:p>
    <w:p w14:paraId="6DABF3C1">
      <w:pPr>
        <w:rPr>
          <w:rFonts w:ascii="Times New Roman" w:hAnsi="Times New Roman" w:cs="Times New Roman"/>
          <w:szCs w:val="32"/>
        </w:rPr>
      </w:pPr>
    </w:p>
    <w:p w14:paraId="0786B25D">
      <w:pPr>
        <w:rPr>
          <w:rFonts w:ascii="Times New Roman" w:hAnsi="Times New Roman" w:cs="Times New Roman"/>
          <w:szCs w:val="32"/>
        </w:rPr>
      </w:pPr>
    </w:p>
    <w:p w14:paraId="2CD33817">
      <w:pPr>
        <w:rPr>
          <w:rFonts w:ascii="Times New Roman" w:hAnsi="Times New Roman" w:cs="Times New Roman"/>
          <w:szCs w:val="32"/>
        </w:rPr>
      </w:pPr>
    </w:p>
    <w:p w14:paraId="1D0BB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政府信息公开选项：主动公开</w:t>
      </w:r>
    </w:p>
    <w:p w14:paraId="5884FFC4">
      <w:pPr>
        <w:ind w:left="814" w:leftChars="83" w:hanging="552" w:hanging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59264;mso-width-relative:page;mso-height-relative:page;" filled="f" stroked="t" coordsize="21600,21600" o:gfxdata="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g&#10;29vs0gAAAAIBAAAPAAAAAAAAAAEAIAAAACIAAABkcnMvZG93bnJldi54bWxQSwECFAAUAAAACACH&#10;TuJAqstkrvEBAADnAwAADgAAAAAAAAABACAAAAAhAQAAZHJzL2Uyb0RvYy54bWxQSwUGAAAAAAYA&#10;BgBZAQAAhA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抄送：区委各部门，区人大常委会办公室，区政协办公室，区法院，</w:t>
      </w:r>
    </w:p>
    <w:p w14:paraId="0F61D823">
      <w:pPr>
        <w:ind w:left="812" w:leftChars="257" w:firstLine="276" w:firstLineChars="1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区检察院，区人武部。</w:t>
      </w:r>
    </w:p>
    <w:p w14:paraId="75C54F5A">
      <w:pPr>
        <w:ind w:firstLine="276" w:firstLineChars="1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390525</wp:posOffset>
                </wp:positionV>
                <wp:extent cx="561848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75pt;height:0pt;width:442.4pt;z-index:251661312;mso-width-relative:page;mso-height-relative:page;" filled="f" stroked="t" coordsize="21600,21600" o:gfxdata="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DNte301QAAAAYBAAAPAAAAAAAAAAEAIAAAACIAAABkcnMvZG93bnJldi54bWxQSwECFAAUAAAA&#10;CACHTuJArRVWf/EBAADnAwAADgAAAAAAAAABACAAAAAkAQAAZHJzL2Uyb0RvYy54bWxQSwUGAAAA&#10;AAYABgBZAQAAh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1848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84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pt;height:0pt;width:442.4pt;z-index:251660288;mso-width-relative:page;mso-height-relative:page;" filled="f" stroked="t" coordsize="21600,21600" o:gfxdata="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Sp&#10;e7HRAAAAAgEAAA8AAAAAAAAAAQAgAAAAIgAAAGRycy9kb3ducmV2LnhtbFBLAQIUABQAAAAIAIdO&#10;4kBSnjS48QEAAOY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菏泽市定陶区人民政府办公室　　　　　　　2020年2月10日印发</w:t>
      </w:r>
    </w:p>
    <w:sectPr>
      <w:footerReference r:id="rId3" w:type="default"/>
      <w:pgSz w:w="11907" w:h="16840" w:orient="landscape"/>
      <w:pgMar w:top="1701" w:right="1531" w:bottom="1588" w:left="1531" w:header="851" w:footer="992" w:gutter="0"/>
      <w:cols w:space="0" w:num="1"/>
      <w:docGrid w:type="linesAndChars" w:linePitch="61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CS大宋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EA07A">
    <w:pPr>
      <w:pStyle w:val="3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5D6C3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</w:rPr>
                              <w:id w:val="-1524785513"/>
                            </w:sdtPr>
                            <w:sdtEnd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hint="eastAsia" w:ascii="Times New Roman" w:hAnsi="Times New Roman" w:cs="Times New Roman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5D6C3">
                    <w:pPr>
                      <w:pStyle w:val="3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sdt>
                      <w:sdtPr>
                        <w:rPr>
                          <w:rFonts w:ascii="Times New Roman" w:hAnsi="Times New Roman" w:cs="Times New Roman"/>
                        </w:rPr>
                        <w:id w:val="-1524785513"/>
                      </w:sdtPr>
                      <w:sdtEnd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hint="eastAsia" w:ascii="Times New Roman" w:hAnsi="Times New Roman" w:cs="Times New Roman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6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316"/>
  <w:drawingGridVerticalSpacing w:val="615"/>
  <w:noPunctuationKerning w:val="1"/>
  <w:characterSpacingControl w:val="compressPunctuation"/>
  <w:printTwoOnOne w:val="1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EE2"/>
    <w:rsid w:val="00195E6A"/>
    <w:rsid w:val="00336E35"/>
    <w:rsid w:val="004F607E"/>
    <w:rsid w:val="00520257"/>
    <w:rsid w:val="005D715B"/>
    <w:rsid w:val="00B650FC"/>
    <w:rsid w:val="00C3077E"/>
    <w:rsid w:val="00C65097"/>
    <w:rsid w:val="00D0420F"/>
    <w:rsid w:val="00D047E3"/>
    <w:rsid w:val="00E23EE2"/>
    <w:rsid w:val="09793C3D"/>
    <w:rsid w:val="0F540264"/>
    <w:rsid w:val="232D1BC6"/>
    <w:rsid w:val="284B3BA8"/>
    <w:rsid w:val="2A3E2DD8"/>
    <w:rsid w:val="2E61172D"/>
    <w:rsid w:val="302F3511"/>
    <w:rsid w:val="3B2D3117"/>
    <w:rsid w:val="3F372810"/>
    <w:rsid w:val="3F9E2AF6"/>
    <w:rsid w:val="43D45DD1"/>
    <w:rsid w:val="5FD7F5C7"/>
    <w:rsid w:val="628D7CBF"/>
    <w:rsid w:val="64E429DD"/>
    <w:rsid w:val="69630AAD"/>
    <w:rsid w:val="78BB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Cs w:val="24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page number"/>
    <w:basedOn w:val="7"/>
    <w:unhideWhenUsed/>
    <w:qFormat/>
    <w:uiPriority w:val="99"/>
  </w:style>
  <w:style w:type="character" w:styleId="10">
    <w:name w:val="FollowedHyperlink"/>
    <w:basedOn w:val="7"/>
    <w:semiHidden/>
    <w:unhideWhenUsed/>
    <w:qFormat/>
    <w:uiPriority w:val="99"/>
    <w:rPr>
      <w:color w:val="800080"/>
      <w:u w:val="none"/>
    </w:rPr>
  </w:style>
  <w:style w:type="character" w:styleId="11">
    <w:name w:val="Hyperlink"/>
    <w:basedOn w:val="7"/>
    <w:semiHidden/>
    <w:unhideWhenUsed/>
    <w:qFormat/>
    <w:uiPriority w:val="99"/>
    <w:rPr>
      <w:color w:val="0000FF"/>
      <w:u w:val="none"/>
    </w:rPr>
  </w:style>
  <w:style w:type="character" w:customStyle="1" w:styleId="12">
    <w:name w:val="页眉 Char"/>
    <w:basedOn w:val="7"/>
    <w:link w:val="4"/>
    <w:qFormat/>
    <w:uiPriority w:val="99"/>
    <w:rPr>
      <w:rFonts w:ascii="仿宋_GB2312" w:eastAsia="仿宋_GB2312"/>
      <w:sz w:val="18"/>
      <w:szCs w:val="18"/>
    </w:rPr>
  </w:style>
  <w:style w:type="character" w:customStyle="1" w:styleId="13">
    <w:name w:val="页脚 Char"/>
    <w:basedOn w:val="7"/>
    <w:link w:val="3"/>
    <w:qFormat/>
    <w:uiPriority w:val="99"/>
    <w:rPr>
      <w:rFonts w:ascii="仿宋_GB2312" w:eastAsia="仿宋_GB2312"/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rFonts w:ascii="仿宋_GB2312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1862</Words>
  <Characters>1890</Characters>
  <Lines>14</Lines>
  <Paragraphs>3</Paragraphs>
  <TotalTime>1</TotalTime>
  <ScaleCrop>false</ScaleCrop>
  <LinksUpToDate>false</LinksUpToDate>
  <CharactersWithSpaces>1902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2019-10-30T23:34:00Z</dcterms:created>
  <dc:creator>微软用户</dc:creator>
  <cp:lastModifiedBy>遇见花开</cp:lastModifiedBy>
  <cp:lastPrinted>2020-02-17T17:32:00Z</cp:lastPrinted>
  <dcterms:modified xsi:type="dcterms:W3CDTF">2025-07-31T01:48:28Z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1E3C71CE73954C018D6A22F1EAA07CD1_13</vt:lpwstr>
  </property>
</Properties>
</file>