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18" w:rsidRDefault="00EE51E2">
      <w:pPr>
        <w:widowControl w:val="0"/>
        <w:spacing w:line="240" w:lineRule="auto"/>
        <w:rPr>
          <w:rFonts w:eastAsiaTheme="minorEastAsia" w:cs="Times New Roman"/>
        </w:rPr>
      </w:pPr>
      <w:r>
        <w:rPr>
          <w:rFonts w:cs="Times New Roman" w:hint="eastAsia"/>
        </w:rPr>
        <w:t>DTDR</w:t>
      </w:r>
      <w:r>
        <w:rPr>
          <w:rFonts w:cs="Times New Roman" w:hint="eastAsia"/>
        </w:rPr>
        <w:t>—</w:t>
      </w:r>
      <w:r>
        <w:rPr>
          <w:rFonts w:cs="Times New Roman" w:hint="eastAsia"/>
        </w:rPr>
        <w:t>2019</w:t>
      </w:r>
      <w:r>
        <w:rPr>
          <w:rFonts w:cs="Times New Roman" w:hint="eastAsia"/>
        </w:rPr>
        <w:t>—</w:t>
      </w:r>
      <w:r>
        <w:rPr>
          <w:rFonts w:cs="Times New Roman" w:hint="eastAsia"/>
        </w:rPr>
        <w:t>0020003</w:t>
      </w:r>
    </w:p>
    <w:p w:rsidR="00532418" w:rsidRDefault="00532418">
      <w:pPr>
        <w:widowControl w:val="0"/>
        <w:spacing w:line="240" w:lineRule="auto"/>
        <w:rPr>
          <w:rFonts w:cs="Times New Roman"/>
        </w:rPr>
      </w:pPr>
    </w:p>
    <w:p w:rsidR="00532418" w:rsidRDefault="00532418">
      <w:pPr>
        <w:widowControl w:val="0"/>
        <w:spacing w:line="240" w:lineRule="auto"/>
        <w:rPr>
          <w:rFonts w:cs="Times New Roman"/>
        </w:rPr>
      </w:pPr>
    </w:p>
    <w:p w:rsidR="00532418" w:rsidRDefault="00532418">
      <w:pPr>
        <w:widowControl w:val="0"/>
        <w:spacing w:line="240" w:lineRule="auto"/>
        <w:rPr>
          <w:rFonts w:cs="Times New Roman"/>
        </w:rPr>
      </w:pPr>
    </w:p>
    <w:p w:rsidR="00532418" w:rsidRDefault="00532418">
      <w:pPr>
        <w:widowControl w:val="0"/>
        <w:spacing w:line="240" w:lineRule="auto"/>
        <w:rPr>
          <w:rFonts w:cs="Times New Roman"/>
        </w:rPr>
      </w:pPr>
    </w:p>
    <w:p w:rsidR="00532418" w:rsidRDefault="00532418">
      <w:pPr>
        <w:widowControl w:val="0"/>
        <w:spacing w:line="240" w:lineRule="auto"/>
        <w:rPr>
          <w:rFonts w:cs="Times New Roman"/>
        </w:rPr>
      </w:pPr>
    </w:p>
    <w:p w:rsidR="00532418" w:rsidRDefault="00532418">
      <w:pPr>
        <w:widowControl w:val="0"/>
        <w:spacing w:line="240" w:lineRule="auto"/>
        <w:rPr>
          <w:rFonts w:cs="Times New Roman"/>
        </w:rPr>
      </w:pPr>
    </w:p>
    <w:p w:rsidR="00532418" w:rsidRDefault="00EE51E2">
      <w:pPr>
        <w:widowControl w:val="0"/>
        <w:spacing w:line="240" w:lineRule="auto"/>
        <w:jc w:val="center"/>
        <w:rPr>
          <w:rFonts w:cs="Times New Roman"/>
        </w:rPr>
      </w:pPr>
      <w:proofErr w:type="gramStart"/>
      <w:r>
        <w:rPr>
          <w:rFonts w:cs="Times New Roman"/>
        </w:rPr>
        <w:t>菏定</w:t>
      </w:r>
      <w:r>
        <w:rPr>
          <w:rFonts w:cs="Times New Roman" w:hint="eastAsia"/>
        </w:rPr>
        <w:t>政</w:t>
      </w:r>
      <w:proofErr w:type="gramEnd"/>
      <w:r>
        <w:rPr>
          <w:rFonts w:cs="Times New Roman" w:hint="eastAsia"/>
          <w:szCs w:val="24"/>
        </w:rPr>
        <w:t>办字</w:t>
      </w:r>
      <w:r>
        <w:rPr>
          <w:rFonts w:cs="Times New Roman"/>
        </w:rPr>
        <w:t>〔</w:t>
      </w:r>
      <w:r>
        <w:rPr>
          <w:rFonts w:cs="Times New Roman"/>
        </w:rPr>
        <w:t>201</w:t>
      </w:r>
      <w:r>
        <w:rPr>
          <w:rFonts w:cs="Times New Roman" w:hint="eastAsia"/>
        </w:rPr>
        <w:t>9</w:t>
      </w:r>
      <w:r>
        <w:rPr>
          <w:rFonts w:cs="Times New Roman"/>
        </w:rPr>
        <w:t>〕</w:t>
      </w:r>
      <w:r w:rsidR="00EF5362">
        <w:rPr>
          <w:rFonts w:cs="Times New Roman" w:hint="eastAsia"/>
        </w:rPr>
        <w:t>35</w:t>
      </w:r>
      <w:r>
        <w:rPr>
          <w:rFonts w:cs="Times New Roman"/>
        </w:rPr>
        <w:t>号</w:t>
      </w:r>
    </w:p>
    <w:p w:rsidR="00532418" w:rsidRDefault="00532418">
      <w:pPr>
        <w:widowControl w:val="0"/>
        <w:spacing w:line="240" w:lineRule="auto"/>
        <w:jc w:val="center"/>
        <w:rPr>
          <w:rFonts w:cs="Times New Roman"/>
        </w:rPr>
      </w:pPr>
    </w:p>
    <w:p w:rsidR="00532418" w:rsidRDefault="00532418">
      <w:pPr>
        <w:widowControl w:val="0"/>
        <w:spacing w:line="240" w:lineRule="auto"/>
        <w:jc w:val="center"/>
        <w:rPr>
          <w:rFonts w:cs="Times New Roman"/>
        </w:rPr>
      </w:pPr>
    </w:p>
    <w:p w:rsidR="00532418" w:rsidRDefault="00EE51E2">
      <w:pPr>
        <w:widowControl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菏泽市定陶区人民政府办公室</w:t>
      </w:r>
    </w:p>
    <w:p w:rsidR="00532418" w:rsidRDefault="00EE51E2">
      <w:pPr>
        <w:widowControl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关于印发菏泽市定陶区“鲁担惠农贷”</w:t>
      </w:r>
    </w:p>
    <w:p w:rsidR="00532418" w:rsidRDefault="00EE51E2">
      <w:pPr>
        <w:widowControl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风险补偿基金管理办法的通知</w:t>
      </w:r>
    </w:p>
    <w:p w:rsidR="00532418" w:rsidRDefault="00532418">
      <w:pPr>
        <w:widowControl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32418" w:rsidRDefault="00EE51E2">
      <w:pPr>
        <w:widowControl w:val="0"/>
        <w:spacing w:line="240" w:lineRule="auto"/>
        <w:rPr>
          <w:rFonts w:cs="Times New Roman"/>
        </w:rPr>
      </w:pPr>
      <w:r>
        <w:rPr>
          <w:rFonts w:cs="Times New Roman"/>
        </w:rPr>
        <w:t>各镇人民政府、街道办事处，区政府有关部门：</w:t>
      </w:r>
    </w:p>
    <w:p w:rsidR="00532418" w:rsidRDefault="00EE51E2">
      <w:pPr>
        <w:widowControl w:val="0"/>
        <w:spacing w:line="240" w:lineRule="auto"/>
        <w:ind w:firstLineChars="202" w:firstLine="638"/>
        <w:rPr>
          <w:rFonts w:cs="Times New Roman"/>
        </w:rPr>
      </w:pPr>
      <w:r>
        <w:rPr>
          <w:rFonts w:cs="Times New Roman"/>
        </w:rPr>
        <w:t>《菏泽市定陶区</w:t>
      </w:r>
      <w:r>
        <w:rPr>
          <w:rFonts w:cs="Times New Roman" w:hint="eastAsia"/>
        </w:rPr>
        <w:t>“</w:t>
      </w:r>
      <w:r>
        <w:rPr>
          <w:rFonts w:cs="Times New Roman"/>
        </w:rPr>
        <w:t>鲁担惠农贷</w:t>
      </w:r>
      <w:r>
        <w:rPr>
          <w:rFonts w:cs="Times New Roman" w:hint="eastAsia"/>
        </w:rPr>
        <w:t>”</w:t>
      </w:r>
      <w:r>
        <w:rPr>
          <w:rFonts w:cs="Times New Roman"/>
        </w:rPr>
        <w:t>风险补偿基金管理办法》已经区政府同意，现印发给你们，请结合实际，认真贯彻</w:t>
      </w:r>
      <w:r>
        <w:rPr>
          <w:rFonts w:cs="Times New Roman" w:hint="eastAsia"/>
        </w:rPr>
        <w:t>执行</w:t>
      </w:r>
      <w:r>
        <w:rPr>
          <w:rFonts w:cs="Times New Roman"/>
        </w:rPr>
        <w:t>。</w:t>
      </w:r>
    </w:p>
    <w:p w:rsidR="00532418" w:rsidRDefault="00532418">
      <w:pPr>
        <w:widowControl w:val="0"/>
        <w:spacing w:line="240" w:lineRule="auto"/>
        <w:ind w:firstLineChars="202" w:firstLine="638"/>
        <w:rPr>
          <w:rFonts w:cs="Times New Roman"/>
        </w:rPr>
      </w:pPr>
    </w:p>
    <w:p w:rsidR="00532418" w:rsidRDefault="00532418">
      <w:pPr>
        <w:widowControl w:val="0"/>
        <w:spacing w:line="240" w:lineRule="auto"/>
        <w:ind w:firstLineChars="202" w:firstLine="638"/>
        <w:rPr>
          <w:rFonts w:cs="Times New Roman"/>
        </w:rPr>
      </w:pPr>
    </w:p>
    <w:p w:rsidR="00532418" w:rsidRDefault="00532418">
      <w:pPr>
        <w:widowControl w:val="0"/>
        <w:spacing w:line="240" w:lineRule="auto"/>
        <w:ind w:firstLineChars="202" w:firstLine="638"/>
        <w:rPr>
          <w:rFonts w:cs="Times New Roman"/>
        </w:rPr>
      </w:pPr>
    </w:p>
    <w:p w:rsidR="00532418" w:rsidRDefault="00EE51E2">
      <w:pPr>
        <w:widowControl w:val="0"/>
        <w:wordWrap w:val="0"/>
        <w:spacing w:line="240" w:lineRule="auto"/>
        <w:ind w:firstLineChars="202" w:firstLine="638"/>
        <w:jc w:val="right"/>
        <w:rPr>
          <w:rFonts w:cs="Times New Roman"/>
        </w:rPr>
      </w:pPr>
      <w:r>
        <w:rPr>
          <w:rFonts w:cs="Times New Roman" w:hint="eastAsia"/>
        </w:rPr>
        <w:t xml:space="preserve">菏泽市定陶区人民政府办公室　</w:t>
      </w:r>
    </w:p>
    <w:p w:rsidR="00532418" w:rsidRDefault="00EE51E2">
      <w:pPr>
        <w:widowControl w:val="0"/>
        <w:wordWrap w:val="0"/>
        <w:spacing w:line="240" w:lineRule="auto"/>
        <w:ind w:firstLineChars="202" w:firstLine="638"/>
        <w:jc w:val="right"/>
        <w:rPr>
          <w:rFonts w:cs="Times New Roman"/>
        </w:rPr>
      </w:pPr>
      <w:r>
        <w:rPr>
          <w:rFonts w:cs="Times New Roman"/>
        </w:rPr>
        <w:t>2019</w:t>
      </w:r>
      <w:r>
        <w:rPr>
          <w:rFonts w:cs="Times New Roman"/>
        </w:rPr>
        <w:t>年</w:t>
      </w:r>
      <w:r>
        <w:rPr>
          <w:rFonts w:cs="Times New Roman"/>
        </w:rPr>
        <w:t>10</w:t>
      </w:r>
      <w:r>
        <w:rPr>
          <w:rFonts w:cs="Times New Roman"/>
        </w:rPr>
        <w:t>月</w:t>
      </w:r>
      <w:r w:rsidR="00EF5362">
        <w:rPr>
          <w:rFonts w:cs="Times New Roman" w:hint="eastAsia"/>
        </w:rPr>
        <w:t>28</w:t>
      </w:r>
      <w:r>
        <w:rPr>
          <w:rFonts w:cs="Times New Roman"/>
        </w:rPr>
        <w:t>日</w:t>
      </w:r>
      <w:r>
        <w:rPr>
          <w:rFonts w:cs="Times New Roman" w:hint="eastAsia"/>
        </w:rPr>
        <w:t xml:space="preserve">　　</w:t>
      </w:r>
      <w:proofErr w:type="gramStart"/>
      <w:r>
        <w:rPr>
          <w:rFonts w:cs="Times New Roman" w:hint="eastAsia"/>
        </w:rPr>
        <w:t xml:space="preserve">　　</w:t>
      </w:r>
      <w:proofErr w:type="gramEnd"/>
    </w:p>
    <w:p w:rsidR="00532418" w:rsidRDefault="00532418">
      <w:pPr>
        <w:widowControl w:val="0"/>
        <w:adjustRightInd w:val="0"/>
        <w:snapToGrid w:val="0"/>
        <w:spacing w:line="570" w:lineRule="exact"/>
        <w:ind w:firstLine="642"/>
        <w:jc w:val="center"/>
        <w:rPr>
          <w:rFonts w:ascii="仿宋_GB2312" w:hAnsi="仿宋_GB2312" w:cs="仿宋_GB2312"/>
          <w:bCs/>
          <w:color w:val="000000"/>
          <w:spacing w:val="-9"/>
        </w:rPr>
      </w:pPr>
    </w:p>
    <w:p w:rsidR="00532418" w:rsidRDefault="00EE51E2">
      <w:pPr>
        <w:widowControl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菏泽市定陶区“鲁担惠农贷”</w:t>
      </w:r>
    </w:p>
    <w:p w:rsidR="00532418" w:rsidRDefault="00EE51E2">
      <w:pPr>
        <w:widowControl w:val="0"/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风险补偿基金管理办法</w:t>
      </w:r>
    </w:p>
    <w:p w:rsidR="00532418" w:rsidRDefault="00532418">
      <w:pPr>
        <w:widowControl w:val="0"/>
        <w:adjustRightInd w:val="0"/>
        <w:snapToGrid w:val="0"/>
        <w:spacing w:line="614" w:lineRule="exact"/>
        <w:jc w:val="center"/>
        <w:rPr>
          <w:rFonts w:ascii="宋体" w:eastAsia="方正小标宋简体" w:hAnsi="宋体"/>
          <w:bCs/>
          <w:sz w:val="44"/>
          <w:szCs w:val="44"/>
        </w:rPr>
      </w:pPr>
    </w:p>
    <w:p w:rsidR="00532418" w:rsidRDefault="00EE51E2">
      <w:pPr>
        <w:widowControl w:val="0"/>
        <w:numPr>
          <w:ilvl w:val="0"/>
          <w:numId w:val="1"/>
        </w:numPr>
        <w:adjustRightInd w:val="0"/>
        <w:snapToGrid w:val="0"/>
        <w:spacing w:line="614" w:lineRule="exact"/>
        <w:jc w:val="center"/>
        <w:rPr>
          <w:rFonts w:ascii="宋体" w:eastAsia="黑体" w:hAnsi="宋体"/>
          <w:bCs/>
        </w:rPr>
      </w:pPr>
      <w:r>
        <w:rPr>
          <w:rFonts w:ascii="宋体" w:eastAsia="黑体" w:hAnsi="宋体"/>
          <w:bCs/>
        </w:rPr>
        <w:t>总</w:t>
      </w:r>
      <w:r>
        <w:rPr>
          <w:rFonts w:ascii="宋体" w:eastAsia="黑体" w:hAnsi="宋体"/>
          <w:bCs/>
        </w:rPr>
        <w:t xml:space="preserve">  </w:t>
      </w:r>
      <w:r>
        <w:rPr>
          <w:rFonts w:ascii="宋体" w:eastAsia="黑体" w:hAnsi="宋体"/>
          <w:bCs/>
        </w:rPr>
        <w:t>则</w:t>
      </w:r>
    </w:p>
    <w:p w:rsidR="00532418" w:rsidRDefault="00532418">
      <w:pPr>
        <w:widowControl w:val="0"/>
        <w:adjustRightInd w:val="0"/>
        <w:snapToGrid w:val="0"/>
        <w:spacing w:line="614" w:lineRule="exact"/>
        <w:rPr>
          <w:rFonts w:ascii="宋体" w:eastAsia="黑体" w:hAnsi="宋体"/>
          <w:bCs/>
        </w:rPr>
      </w:pP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ascii="宋体" w:eastAsia="楷体_GB2312" w:hAnsi="宋体"/>
          <w:bCs/>
        </w:rPr>
        <w:t>第一条</w:t>
      </w:r>
      <w:r>
        <w:rPr>
          <w:rFonts w:ascii="宋体" w:eastAsia="楷体_GB2312" w:hAnsi="宋体"/>
          <w:bCs/>
        </w:rPr>
        <w:t xml:space="preserve">  </w:t>
      </w:r>
      <w:r>
        <w:rPr>
          <w:rFonts w:ascii="宋体" w:hAnsi="宋体"/>
          <w:bCs/>
        </w:rPr>
        <w:t>为积极推进财政金融协同支农工作，促进全区</w:t>
      </w:r>
      <w:r>
        <w:rPr>
          <w:rFonts w:ascii="宋体" w:hAnsi="宋体" w:hint="eastAsia"/>
          <w:bCs/>
        </w:rPr>
        <w:t>“</w:t>
      </w:r>
      <w:r>
        <w:rPr>
          <w:rFonts w:ascii="宋体" w:hAnsi="宋体"/>
          <w:bCs/>
        </w:rPr>
        <w:t>鲁担惠农贷</w:t>
      </w:r>
      <w:r>
        <w:rPr>
          <w:rFonts w:ascii="宋体" w:hAnsi="宋体" w:hint="eastAsia"/>
          <w:bCs/>
        </w:rPr>
        <w:t>”</w:t>
      </w:r>
      <w:r>
        <w:rPr>
          <w:rFonts w:ascii="宋体" w:hAnsi="宋体"/>
          <w:bCs/>
        </w:rPr>
        <w:t>农业信贷担保可持续发展，根据</w:t>
      </w:r>
      <w:r>
        <w:rPr>
          <w:rFonts w:ascii="宋体" w:hAnsi="宋体" w:hint="eastAsia"/>
          <w:bCs/>
        </w:rPr>
        <w:t>国务院《融资担保公司监督管理条例》（</w:t>
      </w:r>
      <w:proofErr w:type="gramStart"/>
      <w:r>
        <w:rPr>
          <w:rFonts w:cs="Times New Roman"/>
          <w:bCs/>
        </w:rPr>
        <w:t>国令第</w:t>
      </w:r>
      <w:r>
        <w:rPr>
          <w:rFonts w:cs="Times New Roman"/>
          <w:bCs/>
        </w:rPr>
        <w:t>683</w:t>
      </w:r>
      <w:r>
        <w:rPr>
          <w:rFonts w:cs="Times New Roman"/>
          <w:bCs/>
        </w:rPr>
        <w:t>号</w:t>
      </w:r>
      <w:proofErr w:type="gramEnd"/>
      <w:r>
        <w:rPr>
          <w:rFonts w:cs="Times New Roman"/>
          <w:bCs/>
        </w:rPr>
        <w:t>）和</w:t>
      </w:r>
      <w:r>
        <w:rPr>
          <w:rFonts w:cs="Times New Roman"/>
          <w:color w:val="000000"/>
        </w:rPr>
        <w:t>《山东省财政厅、山东省农业厅、山东省金融工作办公室中国银行业监督管理委员会山东监管局〈关于做好山东省农业信贷担保工作的实施意见〉》（</w:t>
      </w:r>
      <w:proofErr w:type="gramStart"/>
      <w:r>
        <w:rPr>
          <w:rFonts w:cs="Times New Roman"/>
          <w:color w:val="000000"/>
        </w:rPr>
        <w:t>财农〔</w:t>
      </w:r>
      <w:r>
        <w:rPr>
          <w:rFonts w:cs="Times New Roman"/>
          <w:color w:val="000000"/>
        </w:rPr>
        <w:t>2018</w:t>
      </w:r>
      <w:r>
        <w:rPr>
          <w:rFonts w:cs="Times New Roman"/>
          <w:color w:val="000000"/>
        </w:rPr>
        <w:t>〕</w:t>
      </w:r>
      <w:proofErr w:type="gramEnd"/>
      <w:r>
        <w:rPr>
          <w:rFonts w:cs="Times New Roman"/>
          <w:color w:val="000000"/>
        </w:rPr>
        <w:t>6</w:t>
      </w:r>
      <w:r>
        <w:rPr>
          <w:rFonts w:cs="Times New Roman"/>
          <w:color w:val="000000"/>
        </w:rPr>
        <w:t>号）以及市有关文件要求</w:t>
      </w:r>
      <w:r>
        <w:rPr>
          <w:rFonts w:cs="Times New Roman"/>
          <w:bCs/>
        </w:rPr>
        <w:t>，决定设立</w:t>
      </w:r>
      <w:r>
        <w:rPr>
          <w:rFonts w:cs="Times New Roman" w:hint="eastAsia"/>
          <w:bCs/>
        </w:rPr>
        <w:t>“</w:t>
      </w:r>
      <w:r>
        <w:rPr>
          <w:rFonts w:cs="Times New Roman"/>
          <w:bCs/>
        </w:rPr>
        <w:t>鲁担惠农贷</w:t>
      </w:r>
      <w:r>
        <w:rPr>
          <w:rFonts w:cs="Times New Roman" w:hint="eastAsia"/>
          <w:bCs/>
        </w:rPr>
        <w:t>”</w:t>
      </w:r>
      <w:r>
        <w:rPr>
          <w:rFonts w:cs="Times New Roman"/>
          <w:bCs/>
        </w:rPr>
        <w:t>风险补偿基金（以下简称</w:t>
      </w:r>
      <w:r>
        <w:rPr>
          <w:rFonts w:cs="Times New Roman" w:hint="eastAsia"/>
          <w:bCs/>
        </w:rPr>
        <w:t>“</w:t>
      </w:r>
      <w:r>
        <w:rPr>
          <w:rFonts w:cs="Times New Roman"/>
          <w:bCs/>
        </w:rPr>
        <w:t>风险基金</w:t>
      </w:r>
      <w:r>
        <w:rPr>
          <w:rFonts w:cs="Times New Roman" w:hint="eastAsia"/>
          <w:bCs/>
        </w:rPr>
        <w:t>”</w:t>
      </w:r>
      <w:r>
        <w:rPr>
          <w:rFonts w:cs="Times New Roman"/>
          <w:bCs/>
        </w:rPr>
        <w:t>）。为规范和加强风险基金管理，制定本办法。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第二条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  <w:spacing w:val="-2"/>
        </w:rPr>
        <w:t>本办法所称</w:t>
      </w:r>
      <w:r>
        <w:rPr>
          <w:rFonts w:cs="Times New Roman" w:hint="eastAsia"/>
          <w:bCs/>
          <w:spacing w:val="-2"/>
        </w:rPr>
        <w:t>“</w:t>
      </w:r>
      <w:r>
        <w:rPr>
          <w:rFonts w:cs="Times New Roman"/>
          <w:bCs/>
          <w:spacing w:val="-2"/>
        </w:rPr>
        <w:t>鲁担惠农贷</w:t>
      </w:r>
      <w:r>
        <w:rPr>
          <w:rFonts w:cs="Times New Roman" w:hint="eastAsia"/>
          <w:bCs/>
          <w:spacing w:val="-2"/>
        </w:rPr>
        <w:t>”</w:t>
      </w:r>
      <w:r>
        <w:rPr>
          <w:rFonts w:cs="Times New Roman"/>
          <w:bCs/>
          <w:spacing w:val="-2"/>
        </w:rPr>
        <w:t>贷款，是指由省农业发展信贷担保有限责任公司（以下简称</w:t>
      </w:r>
      <w:r>
        <w:rPr>
          <w:rFonts w:cs="Times New Roman" w:hint="eastAsia"/>
          <w:bCs/>
          <w:spacing w:val="-2"/>
        </w:rPr>
        <w:t>“</w:t>
      </w:r>
      <w:r>
        <w:rPr>
          <w:rFonts w:cs="Times New Roman"/>
          <w:bCs/>
          <w:spacing w:val="-2"/>
        </w:rPr>
        <w:t>省农担公司</w:t>
      </w:r>
      <w:r>
        <w:rPr>
          <w:rFonts w:cs="Times New Roman" w:hint="eastAsia"/>
          <w:bCs/>
          <w:spacing w:val="-2"/>
        </w:rPr>
        <w:t>”</w:t>
      </w:r>
      <w:r>
        <w:rPr>
          <w:rFonts w:cs="Times New Roman"/>
          <w:bCs/>
          <w:spacing w:val="-2"/>
        </w:rPr>
        <w:t>）承保，由合作银行向区内家庭农场、种养大户、农民合作社、农业社会化服务组织、小</w:t>
      </w:r>
      <w:proofErr w:type="gramStart"/>
      <w:r>
        <w:rPr>
          <w:rFonts w:cs="Times New Roman"/>
          <w:bCs/>
          <w:spacing w:val="-2"/>
        </w:rPr>
        <w:t>微农业</w:t>
      </w:r>
      <w:proofErr w:type="gramEnd"/>
      <w:r>
        <w:rPr>
          <w:rFonts w:cs="Times New Roman"/>
          <w:bCs/>
          <w:spacing w:val="-2"/>
        </w:rPr>
        <w:t>企业等农业适度规模经营主体，国有农（团）场中符合条件的适度规模经营主体，以及农业产业化龙头企业发放的贷款。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  <w:spacing w:val="-5"/>
        </w:rPr>
      </w:pPr>
      <w:r>
        <w:rPr>
          <w:rFonts w:eastAsia="楷体_GB2312" w:cs="Times New Roman"/>
          <w:bCs/>
        </w:rPr>
        <w:t>第三条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  <w:spacing w:val="-5"/>
        </w:rPr>
        <w:t>风险基金专项用于支付政府分担的</w:t>
      </w:r>
      <w:r>
        <w:rPr>
          <w:rFonts w:cs="Times New Roman" w:hint="eastAsia"/>
          <w:bCs/>
          <w:spacing w:val="-5"/>
        </w:rPr>
        <w:t>“</w:t>
      </w:r>
      <w:r>
        <w:rPr>
          <w:rFonts w:cs="Times New Roman"/>
          <w:bCs/>
          <w:spacing w:val="-5"/>
        </w:rPr>
        <w:t>鲁担惠农贷</w:t>
      </w:r>
      <w:r>
        <w:rPr>
          <w:rFonts w:cs="Times New Roman" w:hint="eastAsia"/>
          <w:bCs/>
          <w:spacing w:val="-5"/>
        </w:rPr>
        <w:t>”</w:t>
      </w:r>
      <w:r>
        <w:rPr>
          <w:rFonts w:cs="Times New Roman"/>
          <w:bCs/>
          <w:spacing w:val="-5"/>
        </w:rPr>
        <w:t>相关代偿，实行</w:t>
      </w:r>
      <w:r>
        <w:rPr>
          <w:rFonts w:cs="Times New Roman" w:hint="eastAsia"/>
          <w:bCs/>
          <w:spacing w:val="-5"/>
        </w:rPr>
        <w:t>“</w:t>
      </w:r>
      <w:r>
        <w:rPr>
          <w:rFonts w:cs="Times New Roman"/>
          <w:bCs/>
          <w:spacing w:val="-5"/>
        </w:rPr>
        <w:t>委托管理、专户储存、专账核算、专款专用</w:t>
      </w:r>
      <w:r>
        <w:rPr>
          <w:rFonts w:cs="Times New Roman" w:hint="eastAsia"/>
          <w:bCs/>
          <w:spacing w:val="-5"/>
        </w:rPr>
        <w:t>”</w:t>
      </w:r>
      <w:r>
        <w:rPr>
          <w:rFonts w:cs="Times New Roman"/>
          <w:bCs/>
          <w:spacing w:val="-5"/>
        </w:rPr>
        <w:t>。</w:t>
      </w:r>
      <w:proofErr w:type="gramStart"/>
      <w:r>
        <w:rPr>
          <w:rFonts w:cs="Times New Roman"/>
          <w:bCs/>
          <w:spacing w:val="-5"/>
        </w:rPr>
        <w:t>省</w:t>
      </w:r>
      <w:r>
        <w:rPr>
          <w:rFonts w:cs="Times New Roman"/>
          <w:bCs/>
          <w:spacing w:val="-5"/>
        </w:rPr>
        <w:lastRenderedPageBreak/>
        <w:t>农担公司</w:t>
      </w:r>
      <w:proofErr w:type="gramEnd"/>
      <w:r>
        <w:rPr>
          <w:rFonts w:cs="Times New Roman"/>
          <w:bCs/>
          <w:spacing w:val="-5"/>
        </w:rPr>
        <w:t>、区财政、合作银行按照</w:t>
      </w:r>
      <w:r>
        <w:rPr>
          <w:rFonts w:cs="Times New Roman"/>
          <w:bCs/>
          <w:spacing w:val="-5"/>
        </w:rPr>
        <w:t>6:2:2</w:t>
      </w:r>
      <w:r>
        <w:rPr>
          <w:rFonts w:cs="Times New Roman"/>
          <w:bCs/>
          <w:spacing w:val="-5"/>
        </w:rPr>
        <w:t>比例对全区境内</w:t>
      </w:r>
      <w:r>
        <w:rPr>
          <w:rFonts w:cs="Times New Roman" w:hint="eastAsia"/>
          <w:bCs/>
          <w:spacing w:val="-5"/>
        </w:rPr>
        <w:t>“</w:t>
      </w:r>
      <w:r>
        <w:rPr>
          <w:rFonts w:cs="Times New Roman"/>
          <w:bCs/>
          <w:spacing w:val="-5"/>
        </w:rPr>
        <w:t>鲁担惠农贷</w:t>
      </w:r>
      <w:r>
        <w:rPr>
          <w:rFonts w:cs="Times New Roman" w:hint="eastAsia"/>
          <w:bCs/>
          <w:spacing w:val="-5"/>
        </w:rPr>
        <w:t>”</w:t>
      </w:r>
      <w:r>
        <w:rPr>
          <w:rFonts w:cs="Times New Roman"/>
          <w:bCs/>
          <w:spacing w:val="-5"/>
        </w:rPr>
        <w:t>担保贷款风险进行分担。</w:t>
      </w: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12"/>
        <w:rPr>
          <w:rFonts w:cs="Times New Roman"/>
          <w:bCs/>
          <w:spacing w:val="-5"/>
        </w:rPr>
      </w:pPr>
    </w:p>
    <w:p w:rsidR="00532418" w:rsidRDefault="00EE51E2">
      <w:pPr>
        <w:widowControl w:val="0"/>
        <w:numPr>
          <w:ilvl w:val="0"/>
          <w:numId w:val="2"/>
        </w:numPr>
        <w:adjustRightInd w:val="0"/>
        <w:snapToGrid w:val="0"/>
        <w:spacing w:line="614" w:lineRule="exact"/>
        <w:jc w:val="center"/>
        <w:rPr>
          <w:rFonts w:eastAsia="黑体" w:cs="Times New Roman"/>
          <w:bCs/>
        </w:rPr>
      </w:pPr>
      <w:r>
        <w:rPr>
          <w:rFonts w:eastAsia="黑体" w:cs="Times New Roman"/>
          <w:bCs/>
        </w:rPr>
        <w:t>风险基金的筹集</w:t>
      </w: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eastAsia="楷体_GB2312" w:cs="Times New Roman"/>
          <w:bCs/>
        </w:rPr>
      </w:pP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第四条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</w:rPr>
        <w:t>风险基金的来源包括：本级财政预算安排资金、上级财政部门下达的支农资金、财政专项融资增信资金，以及代偿后从已实现的追偿收入中政府按比例分得的收入。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第五条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</w:rPr>
        <w:t>区财政安排</w:t>
      </w:r>
      <w:r>
        <w:rPr>
          <w:rFonts w:cs="Times New Roman"/>
          <w:bCs/>
        </w:rPr>
        <w:t>300</w:t>
      </w:r>
      <w:r>
        <w:rPr>
          <w:rFonts w:cs="Times New Roman"/>
          <w:bCs/>
        </w:rPr>
        <w:t>万元建立风险基金，以后每年度根据风险基金使用情况及时补充，保持与政府分险责任相适应的资金数额。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第六条</w:t>
      </w:r>
      <w:r>
        <w:rPr>
          <w:rFonts w:cs="Times New Roman"/>
          <w:bCs/>
        </w:rPr>
        <w:t xml:space="preserve">  </w:t>
      </w:r>
      <w:r>
        <w:rPr>
          <w:rFonts w:cs="Times New Roman"/>
          <w:bCs/>
        </w:rPr>
        <w:t>风险基金年末结余滚存下年度使用。</w:t>
      </w:r>
    </w:p>
    <w:p w:rsidR="00532418" w:rsidRDefault="00532418">
      <w:pPr>
        <w:widowControl w:val="0"/>
        <w:adjustRightInd w:val="0"/>
        <w:snapToGrid w:val="0"/>
        <w:spacing w:line="614" w:lineRule="exact"/>
        <w:jc w:val="center"/>
        <w:rPr>
          <w:rFonts w:eastAsia="黑体" w:cs="Times New Roman"/>
          <w:bCs/>
        </w:rPr>
      </w:pPr>
    </w:p>
    <w:p w:rsidR="00532418" w:rsidRDefault="00EE51E2">
      <w:pPr>
        <w:widowControl w:val="0"/>
        <w:numPr>
          <w:ilvl w:val="0"/>
          <w:numId w:val="2"/>
        </w:numPr>
        <w:adjustRightInd w:val="0"/>
        <w:snapToGrid w:val="0"/>
        <w:spacing w:line="614" w:lineRule="exact"/>
        <w:jc w:val="center"/>
        <w:rPr>
          <w:rFonts w:eastAsia="黑体" w:cs="Times New Roman"/>
          <w:bCs/>
        </w:rPr>
      </w:pPr>
      <w:r>
        <w:rPr>
          <w:rFonts w:eastAsia="黑体" w:cs="Times New Roman"/>
          <w:bCs/>
        </w:rPr>
        <w:t>风险基金的管理</w:t>
      </w:r>
    </w:p>
    <w:p w:rsidR="00532418" w:rsidRDefault="00532418">
      <w:pPr>
        <w:widowControl w:val="0"/>
        <w:adjustRightInd w:val="0"/>
        <w:snapToGrid w:val="0"/>
        <w:spacing w:line="614" w:lineRule="exact"/>
        <w:rPr>
          <w:rFonts w:eastAsia="黑体" w:cs="Times New Roman"/>
          <w:bCs/>
        </w:rPr>
      </w:pP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第七条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  <w:spacing w:val="-3"/>
        </w:rPr>
        <w:t>区财政金融协同支农领导小组办公室可以将风险基金以定期存款、保本理财等方式</w:t>
      </w:r>
      <w:proofErr w:type="gramStart"/>
      <w:r>
        <w:rPr>
          <w:rFonts w:cs="Times New Roman"/>
          <w:bCs/>
          <w:spacing w:val="-3"/>
        </w:rPr>
        <w:t>存入省农担</w:t>
      </w:r>
      <w:proofErr w:type="gramEnd"/>
      <w:r>
        <w:rPr>
          <w:rFonts w:cs="Times New Roman"/>
          <w:bCs/>
          <w:spacing w:val="-3"/>
        </w:rPr>
        <w:t>公司合作银行，也可以按照风险基金委托管</w:t>
      </w:r>
      <w:proofErr w:type="gramStart"/>
      <w:r>
        <w:rPr>
          <w:rFonts w:cs="Times New Roman"/>
          <w:bCs/>
          <w:spacing w:val="-3"/>
        </w:rPr>
        <w:t>理要求</w:t>
      </w:r>
      <w:proofErr w:type="gramEnd"/>
      <w:r>
        <w:rPr>
          <w:rFonts w:cs="Times New Roman"/>
          <w:bCs/>
          <w:spacing w:val="-3"/>
        </w:rPr>
        <w:t>选择区政府融资平台公司作为风险基金委托管理机构（简称</w:t>
      </w:r>
      <w:r>
        <w:rPr>
          <w:rFonts w:cs="Times New Roman" w:hint="eastAsia"/>
          <w:bCs/>
          <w:spacing w:val="-3"/>
        </w:rPr>
        <w:t>“</w:t>
      </w:r>
      <w:r>
        <w:rPr>
          <w:rFonts w:cs="Times New Roman"/>
          <w:bCs/>
          <w:spacing w:val="-3"/>
        </w:rPr>
        <w:t>托管机构</w:t>
      </w:r>
      <w:r>
        <w:rPr>
          <w:rFonts w:cs="Times New Roman" w:hint="eastAsia"/>
          <w:bCs/>
          <w:spacing w:val="-3"/>
        </w:rPr>
        <w:t>”</w:t>
      </w:r>
      <w:r>
        <w:rPr>
          <w:rFonts w:cs="Times New Roman"/>
          <w:bCs/>
          <w:spacing w:val="-3"/>
        </w:rPr>
        <w:t>）。区财政局、</w:t>
      </w:r>
      <w:proofErr w:type="gramStart"/>
      <w:r>
        <w:rPr>
          <w:rFonts w:cs="Times New Roman"/>
          <w:bCs/>
          <w:spacing w:val="-3"/>
        </w:rPr>
        <w:t>省农担公司</w:t>
      </w:r>
      <w:proofErr w:type="gramEnd"/>
      <w:r>
        <w:rPr>
          <w:rFonts w:cs="Times New Roman"/>
          <w:bCs/>
          <w:spacing w:val="-3"/>
        </w:rPr>
        <w:t>根据本办法与托管机构签署协议，明确各自的权利、责任和义务。托管账户应在</w:t>
      </w:r>
      <w:proofErr w:type="gramStart"/>
      <w:r>
        <w:rPr>
          <w:rFonts w:cs="Times New Roman"/>
          <w:bCs/>
          <w:spacing w:val="-3"/>
        </w:rPr>
        <w:t>省农担公司</w:t>
      </w:r>
      <w:proofErr w:type="gramEnd"/>
      <w:r>
        <w:rPr>
          <w:rFonts w:cs="Times New Roman"/>
          <w:bCs/>
          <w:spacing w:val="-3"/>
        </w:rPr>
        <w:t>合作银行开设。风险基金所有权归属于区政府。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lastRenderedPageBreak/>
        <w:t>第八条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</w:rPr>
        <w:t>托管机构参与风险基金的支付管理，未经区财政金融协同支农领导小组办公室和</w:t>
      </w:r>
      <w:proofErr w:type="gramStart"/>
      <w:r>
        <w:rPr>
          <w:rFonts w:cs="Times New Roman"/>
          <w:bCs/>
        </w:rPr>
        <w:t>省农担公司</w:t>
      </w:r>
      <w:proofErr w:type="gramEnd"/>
      <w:r>
        <w:rPr>
          <w:rFonts w:cs="Times New Roman"/>
          <w:bCs/>
        </w:rPr>
        <w:t>共同授权，不得动用基金，也不得将基金用于质押、清偿自身债务等与</w:t>
      </w:r>
      <w:r>
        <w:rPr>
          <w:rFonts w:cs="Times New Roman" w:hint="eastAsia"/>
          <w:bCs/>
        </w:rPr>
        <w:t>“</w:t>
      </w:r>
      <w:r>
        <w:rPr>
          <w:rFonts w:cs="Times New Roman"/>
          <w:bCs/>
        </w:rPr>
        <w:t>鲁担惠农贷</w:t>
      </w:r>
      <w:r>
        <w:rPr>
          <w:rFonts w:cs="Times New Roman" w:hint="eastAsia"/>
          <w:bCs/>
        </w:rPr>
        <w:t>”</w:t>
      </w:r>
      <w:r>
        <w:rPr>
          <w:rFonts w:cs="Times New Roman"/>
          <w:bCs/>
        </w:rPr>
        <w:t>风险补偿无关的支出活动。但本办法第十二条规定的情形除外。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第九条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  <w:spacing w:val="-2"/>
        </w:rPr>
        <w:t>托管机构可使用基金在开户行购买安全性、流动性较高的固定收益类理财产品或转存定期存款，</w:t>
      </w:r>
      <w:r>
        <w:rPr>
          <w:rFonts w:cs="Times New Roman"/>
          <w:bCs/>
        </w:rPr>
        <w:t>风险基金孳生的利息</w:t>
      </w:r>
      <w:r>
        <w:rPr>
          <w:rFonts w:cs="Times New Roman"/>
          <w:bCs/>
          <w:spacing w:val="-2"/>
        </w:rPr>
        <w:t>收益用于</w:t>
      </w:r>
      <w:proofErr w:type="gramStart"/>
      <w:r>
        <w:rPr>
          <w:rFonts w:cs="Times New Roman"/>
          <w:bCs/>
          <w:spacing w:val="-2"/>
        </w:rPr>
        <w:t>补充区</w:t>
      </w:r>
      <w:proofErr w:type="gramEnd"/>
      <w:r>
        <w:rPr>
          <w:rFonts w:cs="Times New Roman"/>
          <w:bCs/>
          <w:spacing w:val="-2"/>
        </w:rPr>
        <w:t>财政金融协同支农业务经费，购买理财产品或定期存款资金不超过风险基金余额的</w:t>
      </w:r>
      <w:r>
        <w:rPr>
          <w:rFonts w:cs="Times New Roman"/>
          <w:bCs/>
          <w:spacing w:val="-2"/>
        </w:rPr>
        <w:t>80%</w:t>
      </w:r>
      <w:r>
        <w:rPr>
          <w:rFonts w:cs="Times New Roman"/>
          <w:bCs/>
          <w:spacing w:val="-2"/>
        </w:rPr>
        <w:t>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第十条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</w:rPr>
        <w:t>托管机构应建立健全内控机制，确保受托管理的基金安全。因管理不善或自身法律风险造成风险基金损失的，托管机构应使用自有资金全额赔偿。</w:t>
      </w: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EE51E2">
      <w:pPr>
        <w:widowControl w:val="0"/>
        <w:numPr>
          <w:ilvl w:val="0"/>
          <w:numId w:val="2"/>
        </w:numPr>
        <w:adjustRightInd w:val="0"/>
        <w:snapToGrid w:val="0"/>
        <w:spacing w:line="614" w:lineRule="exact"/>
        <w:jc w:val="center"/>
        <w:rPr>
          <w:rFonts w:eastAsia="黑体" w:cs="Times New Roman"/>
          <w:bCs/>
        </w:rPr>
      </w:pPr>
      <w:r>
        <w:rPr>
          <w:rFonts w:eastAsia="黑体" w:cs="Times New Roman"/>
          <w:bCs/>
        </w:rPr>
        <w:t xml:space="preserve"> </w:t>
      </w:r>
      <w:r>
        <w:rPr>
          <w:rFonts w:eastAsia="黑体" w:cs="Times New Roman"/>
          <w:bCs/>
        </w:rPr>
        <w:t>风险基金的使用</w:t>
      </w:r>
    </w:p>
    <w:p w:rsidR="00532418" w:rsidRDefault="00532418">
      <w:pPr>
        <w:widowControl w:val="0"/>
        <w:adjustRightInd w:val="0"/>
        <w:snapToGrid w:val="0"/>
        <w:spacing w:line="614" w:lineRule="exact"/>
        <w:rPr>
          <w:rFonts w:eastAsia="黑体" w:cs="Times New Roman"/>
          <w:bCs/>
        </w:rPr>
      </w:pP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第十一条</w:t>
      </w:r>
      <w:r>
        <w:rPr>
          <w:rFonts w:eastAsia="楷体_GB2312" w:cs="Times New Roman"/>
          <w:bCs/>
        </w:rPr>
        <w:t xml:space="preserve">  </w:t>
      </w:r>
      <w:proofErr w:type="gramStart"/>
      <w:r>
        <w:rPr>
          <w:rFonts w:cs="Times New Roman"/>
          <w:bCs/>
        </w:rPr>
        <w:t>省农担公司</w:t>
      </w:r>
      <w:proofErr w:type="gramEnd"/>
      <w:r>
        <w:rPr>
          <w:rFonts w:cs="Times New Roman"/>
          <w:bCs/>
        </w:rPr>
        <w:t>在</w:t>
      </w:r>
      <w:r>
        <w:rPr>
          <w:rFonts w:cs="Times New Roman" w:hint="eastAsia"/>
          <w:bCs/>
        </w:rPr>
        <w:t>“</w:t>
      </w:r>
      <w:r>
        <w:rPr>
          <w:rFonts w:cs="Times New Roman"/>
          <w:bCs/>
        </w:rPr>
        <w:t>鲁担惠农贷</w:t>
      </w:r>
      <w:r>
        <w:rPr>
          <w:rFonts w:cs="Times New Roman" w:hint="eastAsia"/>
          <w:bCs/>
        </w:rPr>
        <w:t>”</w:t>
      </w:r>
      <w:r>
        <w:rPr>
          <w:rFonts w:cs="Times New Roman"/>
          <w:bCs/>
        </w:rPr>
        <w:t>贷款出险并向合作银行支付代偿资金后，应填制《</w:t>
      </w:r>
      <w:r>
        <w:rPr>
          <w:rFonts w:cs="Times New Roman" w:hint="eastAsia"/>
          <w:bCs/>
        </w:rPr>
        <w:t>“</w:t>
      </w:r>
      <w:r>
        <w:rPr>
          <w:rFonts w:cs="Times New Roman"/>
          <w:bCs/>
        </w:rPr>
        <w:t>鲁担惠农贷</w:t>
      </w:r>
      <w:r>
        <w:rPr>
          <w:rFonts w:cs="Times New Roman" w:hint="eastAsia"/>
          <w:bCs/>
        </w:rPr>
        <w:t>”</w:t>
      </w:r>
      <w:r>
        <w:rPr>
          <w:rFonts w:cs="Times New Roman"/>
          <w:bCs/>
        </w:rPr>
        <w:t>补偿资金拨款单》（以下简称</w:t>
      </w:r>
      <w:r>
        <w:rPr>
          <w:rFonts w:cs="Times New Roman" w:hint="eastAsia"/>
          <w:bCs/>
          <w:spacing w:val="-2"/>
        </w:rPr>
        <w:t>“</w:t>
      </w:r>
      <w:r>
        <w:rPr>
          <w:rFonts w:cs="Times New Roman"/>
          <w:bCs/>
        </w:rPr>
        <w:t>拨款单</w:t>
      </w:r>
      <w:r>
        <w:rPr>
          <w:rFonts w:cs="Times New Roman" w:hint="eastAsia"/>
          <w:bCs/>
          <w:spacing w:val="-2"/>
        </w:rPr>
        <w:t>”</w:t>
      </w:r>
      <w:r>
        <w:rPr>
          <w:rFonts w:cs="Times New Roman"/>
          <w:bCs/>
        </w:rPr>
        <w:t>），并</w:t>
      </w:r>
      <w:proofErr w:type="gramStart"/>
      <w:r>
        <w:rPr>
          <w:rFonts w:cs="Times New Roman"/>
          <w:bCs/>
        </w:rPr>
        <w:t>附银行</w:t>
      </w:r>
      <w:proofErr w:type="gramEnd"/>
      <w:r>
        <w:rPr>
          <w:rFonts w:cs="Times New Roman"/>
          <w:bCs/>
        </w:rPr>
        <w:t>出具的代偿通知书复印件、代偿证明书复印件，加盖公章后送领导小组办公室审核。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第十二条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</w:rPr>
        <w:t>领导小组办公室在</w:t>
      </w:r>
      <w:r>
        <w:rPr>
          <w:rFonts w:cs="Times New Roman"/>
          <w:bCs/>
        </w:rPr>
        <w:t>10</w:t>
      </w:r>
      <w:r>
        <w:rPr>
          <w:rFonts w:cs="Times New Roman"/>
          <w:bCs/>
        </w:rPr>
        <w:t>个工作日内对相关资料进行审核，无误后，在《拨款单》上签署意见，通知托管机构支付资金。托管机构应无条件办理支付手续，在</w:t>
      </w:r>
      <w:r>
        <w:rPr>
          <w:rFonts w:cs="Times New Roman"/>
          <w:bCs/>
        </w:rPr>
        <w:t>2</w:t>
      </w:r>
      <w:r>
        <w:rPr>
          <w:rFonts w:cs="Times New Roman"/>
          <w:bCs/>
        </w:rPr>
        <w:t>个工作日内将资金拨付到</w:t>
      </w:r>
      <w:proofErr w:type="gramStart"/>
      <w:r>
        <w:rPr>
          <w:rFonts w:cs="Times New Roman"/>
          <w:bCs/>
        </w:rPr>
        <w:t>省农担公司</w:t>
      </w:r>
      <w:proofErr w:type="gramEnd"/>
      <w:r>
        <w:rPr>
          <w:rFonts w:cs="Times New Roman"/>
          <w:bCs/>
        </w:rPr>
        <w:t>指定账户。</w:t>
      </w: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EE51E2">
      <w:pPr>
        <w:widowControl w:val="0"/>
        <w:numPr>
          <w:ilvl w:val="0"/>
          <w:numId w:val="2"/>
        </w:numPr>
        <w:adjustRightInd w:val="0"/>
        <w:snapToGrid w:val="0"/>
        <w:spacing w:line="614" w:lineRule="exact"/>
        <w:jc w:val="center"/>
        <w:rPr>
          <w:rFonts w:eastAsia="黑体" w:cs="Times New Roman"/>
          <w:bCs/>
        </w:rPr>
      </w:pPr>
      <w:r>
        <w:rPr>
          <w:rFonts w:eastAsia="黑体" w:cs="Times New Roman"/>
          <w:bCs/>
        </w:rPr>
        <w:t xml:space="preserve"> </w:t>
      </w:r>
      <w:r>
        <w:rPr>
          <w:rFonts w:eastAsia="黑体" w:cs="Times New Roman"/>
          <w:bCs/>
        </w:rPr>
        <w:t>风险控制</w:t>
      </w:r>
    </w:p>
    <w:p w:rsidR="00532418" w:rsidRDefault="00532418">
      <w:pPr>
        <w:widowControl w:val="0"/>
        <w:adjustRightInd w:val="0"/>
        <w:snapToGrid w:val="0"/>
        <w:spacing w:line="614" w:lineRule="exact"/>
        <w:rPr>
          <w:rFonts w:eastAsia="黑体" w:cs="Times New Roman"/>
          <w:bCs/>
        </w:rPr>
      </w:pP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第十三条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  <w:spacing w:val="-6"/>
        </w:rPr>
        <w:t>区财政金融协同支农领导小组办公室应加强与公安、法院、检察院协调，协助</w:t>
      </w:r>
      <w:proofErr w:type="gramStart"/>
      <w:r>
        <w:rPr>
          <w:rFonts w:cs="Times New Roman"/>
          <w:bCs/>
          <w:spacing w:val="-6"/>
        </w:rPr>
        <w:t>省农担公司</w:t>
      </w:r>
      <w:proofErr w:type="gramEnd"/>
      <w:r>
        <w:rPr>
          <w:rFonts w:cs="Times New Roman"/>
          <w:bCs/>
          <w:spacing w:val="-6"/>
        </w:rPr>
        <w:t>及合作银行开展追偿。追偿所得扣除相关费用后，区政府所得部分，全部用于补充风险基金。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第十四条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</w:rPr>
        <w:t>风险基金累计代偿支出额超过现存基</w:t>
      </w:r>
      <w:r>
        <w:rPr>
          <w:rFonts w:cs="Times New Roman"/>
          <w:bCs/>
          <w:spacing w:val="-6"/>
        </w:rPr>
        <w:t>金</w:t>
      </w:r>
      <w:r>
        <w:rPr>
          <w:rFonts w:cs="Times New Roman"/>
          <w:bCs/>
          <w:spacing w:val="-6"/>
        </w:rPr>
        <w:t>20%</w:t>
      </w:r>
      <w:r>
        <w:rPr>
          <w:rFonts w:cs="Times New Roman"/>
          <w:bCs/>
          <w:spacing w:val="-6"/>
        </w:rPr>
        <w:t>时</w:t>
      </w:r>
      <w:r>
        <w:rPr>
          <w:rFonts w:cs="Times New Roman"/>
          <w:bCs/>
        </w:rPr>
        <w:t>，应暂停</w:t>
      </w:r>
      <w:r>
        <w:rPr>
          <w:rFonts w:cs="Times New Roman" w:hint="eastAsia"/>
          <w:bCs/>
        </w:rPr>
        <w:t>“</w:t>
      </w:r>
      <w:r>
        <w:rPr>
          <w:rFonts w:cs="Times New Roman"/>
          <w:bCs/>
        </w:rPr>
        <w:t>鲁担惠农贷</w:t>
      </w:r>
      <w:r>
        <w:rPr>
          <w:rFonts w:cs="Times New Roman" w:hint="eastAsia"/>
          <w:bCs/>
        </w:rPr>
        <w:t>”</w:t>
      </w:r>
      <w:r>
        <w:rPr>
          <w:rFonts w:cs="Times New Roman"/>
          <w:bCs/>
        </w:rPr>
        <w:t>新增贷款担保业务，待查明原因、完善措施后方可恢复业务。</w:t>
      </w:r>
      <w:proofErr w:type="gramStart"/>
      <w:r>
        <w:rPr>
          <w:rFonts w:cs="Times New Roman"/>
          <w:bCs/>
        </w:rPr>
        <w:t>省农担公司</w:t>
      </w:r>
      <w:proofErr w:type="gramEnd"/>
      <w:r>
        <w:rPr>
          <w:rFonts w:cs="Times New Roman"/>
          <w:bCs/>
        </w:rPr>
        <w:t>及合作银行会同区</w:t>
      </w:r>
      <w:r>
        <w:rPr>
          <w:rFonts w:cs="Times New Roman"/>
          <w:bCs/>
          <w:spacing w:val="-6"/>
        </w:rPr>
        <w:t>财政金融协同支农</w:t>
      </w:r>
      <w:r>
        <w:rPr>
          <w:rFonts w:cs="Times New Roman"/>
          <w:bCs/>
        </w:rPr>
        <w:t>领导小组办公室和有关部门、镇街开展调查，分析问题根源，提出应对措施，确保</w:t>
      </w:r>
      <w:r>
        <w:rPr>
          <w:rFonts w:cs="Times New Roman" w:hint="eastAsia"/>
          <w:bCs/>
        </w:rPr>
        <w:t>“</w:t>
      </w:r>
      <w:r>
        <w:rPr>
          <w:rFonts w:cs="Times New Roman"/>
          <w:bCs/>
        </w:rPr>
        <w:t>鲁担惠农贷</w:t>
      </w:r>
      <w:r>
        <w:rPr>
          <w:rFonts w:cs="Times New Roman" w:hint="eastAsia"/>
          <w:bCs/>
        </w:rPr>
        <w:t>”</w:t>
      </w:r>
      <w:r>
        <w:rPr>
          <w:rFonts w:cs="Times New Roman"/>
          <w:bCs/>
        </w:rPr>
        <w:t>业务可持续开展。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第十五条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</w:rPr>
        <w:t>区财政金融协同支农领导小组办公室、</w:t>
      </w:r>
      <w:proofErr w:type="gramStart"/>
      <w:r>
        <w:rPr>
          <w:rFonts w:cs="Times New Roman"/>
          <w:bCs/>
        </w:rPr>
        <w:t>省农担公司</w:t>
      </w:r>
      <w:proofErr w:type="gramEnd"/>
      <w:r>
        <w:rPr>
          <w:rFonts w:cs="Times New Roman"/>
          <w:bCs/>
        </w:rPr>
        <w:t>负责对风险基金进行监督，必要时可委托社会中介机构进行审计，并建立信息共享机制。</w:t>
      </w: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EE51E2">
      <w:pPr>
        <w:widowControl w:val="0"/>
        <w:adjustRightInd w:val="0"/>
        <w:snapToGrid w:val="0"/>
        <w:spacing w:line="614" w:lineRule="exact"/>
        <w:jc w:val="center"/>
        <w:rPr>
          <w:rFonts w:eastAsia="黑体" w:cs="Times New Roman"/>
          <w:bCs/>
        </w:rPr>
      </w:pPr>
      <w:r>
        <w:rPr>
          <w:rFonts w:eastAsia="黑体" w:cs="Times New Roman"/>
          <w:bCs/>
        </w:rPr>
        <w:t>第六章</w:t>
      </w:r>
      <w:r>
        <w:rPr>
          <w:rFonts w:eastAsia="黑体" w:cs="Times New Roman"/>
          <w:bCs/>
        </w:rPr>
        <w:t xml:space="preserve">  </w:t>
      </w:r>
      <w:r>
        <w:rPr>
          <w:rFonts w:eastAsia="黑体" w:cs="Times New Roman"/>
          <w:bCs/>
        </w:rPr>
        <w:t>附</w:t>
      </w:r>
      <w:r>
        <w:rPr>
          <w:rFonts w:eastAsia="黑体" w:cs="Times New Roman"/>
          <w:bCs/>
        </w:rPr>
        <w:t xml:space="preserve">  </w:t>
      </w:r>
      <w:r>
        <w:rPr>
          <w:rFonts w:eastAsia="黑体" w:cs="Times New Roman"/>
          <w:bCs/>
        </w:rPr>
        <w:t>则</w:t>
      </w:r>
    </w:p>
    <w:p w:rsidR="00532418" w:rsidRDefault="00532418">
      <w:pPr>
        <w:widowControl w:val="0"/>
        <w:adjustRightInd w:val="0"/>
        <w:snapToGrid w:val="0"/>
        <w:spacing w:line="614" w:lineRule="exact"/>
        <w:jc w:val="center"/>
        <w:rPr>
          <w:rFonts w:eastAsia="黑体" w:cs="Times New Roman"/>
          <w:bCs/>
        </w:rPr>
      </w:pP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第十六条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</w:rPr>
        <w:t>本办法由区财政金融协同支农领导小组办公室、</w:t>
      </w:r>
      <w:proofErr w:type="gramStart"/>
      <w:r>
        <w:rPr>
          <w:rFonts w:cs="Times New Roman"/>
          <w:bCs/>
        </w:rPr>
        <w:t>省农担公司</w:t>
      </w:r>
      <w:proofErr w:type="gramEnd"/>
      <w:r>
        <w:rPr>
          <w:rFonts w:cs="Times New Roman"/>
          <w:bCs/>
        </w:rPr>
        <w:t>负责解释。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第十七条</w:t>
      </w:r>
      <w:r>
        <w:rPr>
          <w:rFonts w:eastAsia="楷体_GB2312" w:cs="Times New Roman"/>
          <w:bCs/>
        </w:rPr>
        <w:t xml:space="preserve">  </w:t>
      </w:r>
      <w:proofErr w:type="gramStart"/>
      <w:r>
        <w:rPr>
          <w:rFonts w:cs="Times New Roman"/>
          <w:bCs/>
        </w:rPr>
        <w:t>省农担公司</w:t>
      </w:r>
      <w:proofErr w:type="gramEnd"/>
      <w:r>
        <w:rPr>
          <w:rFonts w:cs="Times New Roman"/>
          <w:bCs/>
        </w:rPr>
        <w:t>可委托其驻菏泽市定陶区办事处代行相关职责。</w:t>
      </w:r>
    </w:p>
    <w:p w:rsidR="00532418" w:rsidRDefault="00EE51E2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  <w:r>
        <w:rPr>
          <w:rFonts w:eastAsia="楷体_GB2312" w:cs="Times New Roman"/>
          <w:bCs/>
        </w:rPr>
        <w:t>第十八条</w:t>
      </w:r>
      <w:r>
        <w:rPr>
          <w:rFonts w:eastAsia="楷体_GB2312" w:cs="Times New Roman"/>
          <w:bCs/>
        </w:rPr>
        <w:t xml:space="preserve">  </w:t>
      </w:r>
      <w:r>
        <w:rPr>
          <w:rFonts w:cs="Times New Roman"/>
          <w:bCs/>
        </w:rPr>
        <w:t>本办法自印发之日起施行，有效期</w:t>
      </w:r>
      <w:r>
        <w:rPr>
          <w:rFonts w:cs="Times New Roman"/>
          <w:bCs/>
        </w:rPr>
        <w:t>3</w:t>
      </w:r>
      <w:r>
        <w:rPr>
          <w:rFonts w:cs="Times New Roman"/>
          <w:bCs/>
        </w:rPr>
        <w:t>年。</w:t>
      </w: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532418">
      <w:pPr>
        <w:widowControl w:val="0"/>
        <w:adjustRightInd w:val="0"/>
        <w:snapToGrid w:val="0"/>
        <w:spacing w:line="614" w:lineRule="exact"/>
        <w:ind w:firstLineChars="200" w:firstLine="632"/>
        <w:rPr>
          <w:rFonts w:cs="Times New Roman"/>
          <w:bCs/>
        </w:rPr>
      </w:pPr>
    </w:p>
    <w:p w:rsidR="00532418" w:rsidRDefault="00EE51E2"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政府信息公开选项：主动公开</w:t>
      </w:r>
    </w:p>
    <w:p w:rsidR="00532418" w:rsidRDefault="00F238F2">
      <w:pPr>
        <w:ind w:firstLineChars="100" w:firstLine="276"/>
        <w:rPr>
          <w:sz w:val="28"/>
          <w:szCs w:val="28"/>
        </w:rPr>
      </w:pPr>
      <w:r>
        <w:rPr>
          <w:sz w:val="28"/>
          <w:szCs w:val="28"/>
        </w:rPr>
        <w:pict>
          <v:line id="直接连接符 2" o:spid="_x0000_s1032" style="position:absolute;left:0;text-align:left;z-index:251658240;mso-width-relative:page;mso-height-relative:page" from="0,0" to="442.4pt,0" o:gfxdata="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Db2+zSAAAAAgEAAA8AAAAAAAAA&#10;AQAgAAAAIgAAAGRycy9kb3ducmV2LnhtbFBLAQIUABQAAAAIAIdO4kDbdYog3gEAAKUDAAAOAAAA&#10;AAAAAAEAIAAAACEBAABkcnMvZTJvRG9jLnhtbFBLBQYAAAAABgAGAFkBAABxBQAAAAA=&#10;" strokeweight="1pt"/>
        </w:pict>
      </w:r>
      <w:r w:rsidR="00EE51E2">
        <w:rPr>
          <w:sz w:val="28"/>
          <w:szCs w:val="28"/>
        </w:rPr>
        <w:t>抄送：区委各部门，区人大常委会</w:t>
      </w:r>
      <w:r w:rsidR="00EE51E2">
        <w:rPr>
          <w:rFonts w:hint="eastAsia"/>
          <w:sz w:val="28"/>
          <w:szCs w:val="28"/>
        </w:rPr>
        <w:t>办公室</w:t>
      </w:r>
      <w:r w:rsidR="00EE51E2">
        <w:rPr>
          <w:sz w:val="28"/>
          <w:szCs w:val="28"/>
        </w:rPr>
        <w:t>，区政协</w:t>
      </w:r>
      <w:r w:rsidR="00EE51E2">
        <w:rPr>
          <w:rFonts w:hint="eastAsia"/>
          <w:sz w:val="28"/>
          <w:szCs w:val="28"/>
        </w:rPr>
        <w:t>办公室</w:t>
      </w:r>
      <w:r w:rsidR="00EE51E2">
        <w:rPr>
          <w:sz w:val="28"/>
          <w:szCs w:val="28"/>
        </w:rPr>
        <w:t>，区法院，</w:t>
      </w:r>
    </w:p>
    <w:p w:rsidR="00532418" w:rsidRDefault="00EE51E2" w:rsidP="00B07831">
      <w:pPr>
        <w:ind w:firstLineChars="398" w:firstLine="1098"/>
        <w:rPr>
          <w:sz w:val="28"/>
          <w:szCs w:val="28"/>
        </w:rPr>
      </w:pPr>
      <w:r>
        <w:rPr>
          <w:sz w:val="28"/>
          <w:szCs w:val="28"/>
        </w:rPr>
        <w:t>区检察院，区人武部。</w:t>
      </w:r>
    </w:p>
    <w:p w:rsidR="00532418" w:rsidRDefault="00F238F2">
      <w:pPr>
        <w:ind w:firstLineChars="100" w:firstLine="276"/>
        <w:rPr>
          <w:rFonts w:cs="Times New Roman"/>
          <w:bCs/>
        </w:rPr>
      </w:pPr>
      <w:r>
        <w:rPr>
          <w:sz w:val="28"/>
          <w:szCs w:val="28"/>
        </w:rPr>
        <w:pict>
          <v:line id="直接连接符 3" o:spid="_x0000_s1034" style="position:absolute;left:0;text-align:left;z-index:251660288;mso-width-relative:page;mso-height-relative:page" from="0,30.75pt" to="442.4pt,30.75pt" o:gfxdata="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te301QAAAAYBAAAPAAAA&#10;AAAAAAEAIAAAACIAAABkcnMvZG93bnJldi54bWxQSwECFAAUAAAACACHTuJAllhBZt8BAAClAwAA&#10;DgAAAAAAAAABACAAAAAkAQAAZHJzL2Uyb0RvYy54bWxQSwUGAAAAAAYABgBZAQAAdQUAAAAA&#10;" strokeweight="1pt"/>
        </w:pict>
      </w:r>
      <w:r>
        <w:rPr>
          <w:sz w:val="28"/>
          <w:szCs w:val="28"/>
        </w:rPr>
        <w:pict>
          <v:line id="直接连接符 5" o:spid="_x0000_s1033" style="position:absolute;left:0;text-align:left;z-index:251659264;mso-width-relative:page;mso-height-relative:page" from="0,0" to="442.4pt,0" o:gfxdata="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Kl7sdEAAAACAQAADwAAAAAAAAAB&#10;ACAAAAAiAAAAZHJzL2Rvd25yZXYueG1sUEsBAhQAFAAAAAgAh07iQB9eTaHeAQAApAMAAA4AAAAA&#10;AAAAAQAgAAAAIAEAAGRycy9lMm9Eb2MueG1sUEsFBgAAAAAGAAYAWQEAAHAFAAAAAA==&#10;"/>
        </w:pict>
      </w:r>
      <w:r w:rsidR="00EE51E2">
        <w:rPr>
          <w:sz w:val="28"/>
          <w:szCs w:val="28"/>
        </w:rPr>
        <w:t>菏泽市定陶区人民政府办公室</w:t>
      </w:r>
      <w:proofErr w:type="gramStart"/>
      <w:r w:rsidR="00EE51E2">
        <w:rPr>
          <w:sz w:val="28"/>
          <w:szCs w:val="28"/>
        </w:rPr>
        <w:t xml:space="preserve">　　　　　　　</w:t>
      </w:r>
      <w:proofErr w:type="gramEnd"/>
      <w:r w:rsidR="00EE51E2">
        <w:rPr>
          <w:sz w:val="28"/>
          <w:szCs w:val="28"/>
        </w:rPr>
        <w:t>201</w:t>
      </w:r>
      <w:r w:rsidR="00EE51E2">
        <w:rPr>
          <w:rFonts w:hint="eastAsia"/>
          <w:sz w:val="28"/>
          <w:szCs w:val="28"/>
        </w:rPr>
        <w:t>9</w:t>
      </w:r>
      <w:r w:rsidR="00EE51E2">
        <w:rPr>
          <w:sz w:val="28"/>
          <w:szCs w:val="28"/>
        </w:rPr>
        <w:t>年</w:t>
      </w:r>
      <w:r w:rsidR="00EE51E2">
        <w:rPr>
          <w:rFonts w:hint="eastAsia"/>
          <w:sz w:val="28"/>
          <w:szCs w:val="28"/>
        </w:rPr>
        <w:t>10</w:t>
      </w:r>
      <w:r w:rsidR="00EE51E2">
        <w:rPr>
          <w:sz w:val="28"/>
          <w:szCs w:val="28"/>
        </w:rPr>
        <w:t>月</w:t>
      </w:r>
      <w:r w:rsidR="00EF5362">
        <w:rPr>
          <w:rFonts w:hint="eastAsia"/>
          <w:sz w:val="28"/>
          <w:szCs w:val="28"/>
        </w:rPr>
        <w:t>28</w:t>
      </w:r>
      <w:bookmarkStart w:id="0" w:name="_GoBack"/>
      <w:bookmarkEnd w:id="0"/>
      <w:r w:rsidR="00EE51E2">
        <w:rPr>
          <w:sz w:val="28"/>
          <w:szCs w:val="28"/>
        </w:rPr>
        <w:t>日印发</w:t>
      </w:r>
    </w:p>
    <w:sectPr w:rsidR="00532418" w:rsidSect="00EF5362">
      <w:footerReference w:type="default" r:id="rId9"/>
      <w:pgSz w:w="11907" w:h="16840" w:orient="landscape" w:code="8"/>
      <w:pgMar w:top="1701" w:right="1531" w:bottom="1588" w:left="1531" w:header="851" w:footer="992" w:gutter="0"/>
      <w:cols w:space="0"/>
      <w:docGrid w:type="linesAndChars" w:linePitch="61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F2" w:rsidRDefault="00F238F2">
      <w:pPr>
        <w:spacing w:line="240" w:lineRule="auto"/>
      </w:pPr>
      <w:r>
        <w:separator/>
      </w:r>
    </w:p>
  </w:endnote>
  <w:endnote w:type="continuationSeparator" w:id="0">
    <w:p w:rsidR="00F238F2" w:rsidRDefault="00F23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18" w:rsidRDefault="00F238F2">
    <w:pPr>
      <w:pStyle w:val="a4"/>
      <w:ind w:leftChars="100" w:left="320" w:rightChars="100" w:right="32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85.6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532418" w:rsidRDefault="00EE51E2">
                <w:pPr>
                  <w:pStyle w:val="a4"/>
                  <w:ind w:leftChars="100" w:left="320" w:rightChars="100" w:right="320"/>
                </w:pP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8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2D2AD3">
                  <w:rPr>
                    <w:rStyle w:val="a8"/>
                    <w:rFonts w:ascii="宋体" w:hAnsi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8"/>
                    <w:rFonts w:ascii="宋体" w:hAnsi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F2" w:rsidRDefault="00F238F2">
      <w:pPr>
        <w:spacing w:line="240" w:lineRule="auto"/>
      </w:pPr>
      <w:r>
        <w:separator/>
      </w:r>
    </w:p>
  </w:footnote>
  <w:footnote w:type="continuationSeparator" w:id="0">
    <w:p w:rsidR="00F238F2" w:rsidRDefault="00F238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4729C"/>
    <w:multiLevelType w:val="singleLevel"/>
    <w:tmpl w:val="AD04729C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A0CF2DF"/>
    <w:multiLevelType w:val="singleLevel"/>
    <w:tmpl w:val="5A0CF2DF"/>
    <w:lvl w:ilvl="0">
      <w:start w:val="2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HorizontalSpacing w:val="158"/>
  <w:drawingGridVerticalSpacing w:val="308"/>
  <w:displayHorizontalDrawingGridEvery w:val="2"/>
  <w:displayVerticalDrawingGridEvery w:val="2"/>
  <w:noPunctuationKerning/>
  <w:characterSpacingControl w:val="compressPunctuation"/>
  <w:printTwoOnOne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94B2A"/>
    <w:rsid w:val="000C581B"/>
    <w:rsid w:val="001551FB"/>
    <w:rsid w:val="001970C5"/>
    <w:rsid w:val="002D2AD3"/>
    <w:rsid w:val="002E5E34"/>
    <w:rsid w:val="004A7409"/>
    <w:rsid w:val="004C1DAE"/>
    <w:rsid w:val="004D35F0"/>
    <w:rsid w:val="004D7DE9"/>
    <w:rsid w:val="00511785"/>
    <w:rsid w:val="00532418"/>
    <w:rsid w:val="006907BC"/>
    <w:rsid w:val="006E7CF0"/>
    <w:rsid w:val="00725658"/>
    <w:rsid w:val="007541C3"/>
    <w:rsid w:val="007621A3"/>
    <w:rsid w:val="007706C0"/>
    <w:rsid w:val="00870B5D"/>
    <w:rsid w:val="008D26B3"/>
    <w:rsid w:val="0094624E"/>
    <w:rsid w:val="00972C27"/>
    <w:rsid w:val="009E500D"/>
    <w:rsid w:val="00A02620"/>
    <w:rsid w:val="00B07831"/>
    <w:rsid w:val="00B73DE6"/>
    <w:rsid w:val="00BF3A6C"/>
    <w:rsid w:val="00C16954"/>
    <w:rsid w:val="00C30727"/>
    <w:rsid w:val="00C42801"/>
    <w:rsid w:val="00C5710C"/>
    <w:rsid w:val="00D472FF"/>
    <w:rsid w:val="00D94B2A"/>
    <w:rsid w:val="00DA5919"/>
    <w:rsid w:val="00E664F2"/>
    <w:rsid w:val="00E8626A"/>
    <w:rsid w:val="00EE51E2"/>
    <w:rsid w:val="00EF5362"/>
    <w:rsid w:val="00F21933"/>
    <w:rsid w:val="00F238F2"/>
    <w:rsid w:val="00F84211"/>
    <w:rsid w:val="06541BDD"/>
    <w:rsid w:val="368B028F"/>
    <w:rsid w:val="3E02500E"/>
    <w:rsid w:val="45441713"/>
    <w:rsid w:val="57635489"/>
    <w:rsid w:val="7F4C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lock Text" w:semiHidden="0" w:uiPriority="0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both"/>
    </w:pPr>
    <w:rPr>
      <w:rFonts w:eastAsia="仿宋_GB2312" w:cstheme="minorBidi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widowControl w:val="0"/>
      <w:spacing w:line="240" w:lineRule="auto"/>
      <w:ind w:leftChars="101" w:left="1289" w:rightChars="100" w:right="320" w:hangingChars="483" w:hanging="966"/>
    </w:pPr>
    <w:rPr>
      <w:rFonts w:cs="Courier"/>
      <w:szCs w:val="24"/>
    </w:rPr>
  </w:style>
  <w:style w:type="paragraph" w:styleId="a4">
    <w:name w:val="footer"/>
    <w:basedOn w:val="a"/>
    <w:link w:val="Char"/>
    <w:uiPriority w:val="99"/>
    <w:unhideWhenUsed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paragraph" w:styleId="a6">
    <w:name w:val="Normal (Web)"/>
    <w:basedOn w:val="a"/>
    <w:qFormat/>
    <w:pPr>
      <w:widowControl w:val="0"/>
      <w:spacing w:beforeAutospacing="1" w:afterAutospacing="1" w:line="240" w:lineRule="auto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page number"/>
    <w:basedOn w:val="a0"/>
    <w:uiPriority w:val="99"/>
    <w:unhideWhenUsed/>
    <w:qFormat/>
  </w:style>
  <w:style w:type="character" w:styleId="a9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仿宋_GB2312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character" w:customStyle="1" w:styleId="3Char">
    <w:name w:val="标题 3 Char"/>
    <w:link w:val="3"/>
    <w:rPr>
      <w:b/>
      <w:sz w:val="32"/>
    </w:rPr>
  </w:style>
  <w:style w:type="paragraph" w:styleId="ab">
    <w:name w:val="Balloon Text"/>
    <w:basedOn w:val="a"/>
    <w:link w:val="Char1"/>
    <w:uiPriority w:val="99"/>
    <w:semiHidden/>
    <w:unhideWhenUsed/>
    <w:rsid w:val="00B0783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B07831"/>
    <w:rPr>
      <w:rFonts w:eastAsia="仿宋_GB2312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32"/>
    <customShpInfo spid="_x0000_s1034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308</Words>
  <Characters>1761</Characters>
  <Application>Microsoft Office Word</Application>
  <DocSecurity>0</DocSecurity>
  <Lines>14</Lines>
  <Paragraphs>4</Paragraphs>
  <ScaleCrop>false</ScaleCrop>
  <Company>Lenovo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孟纪庚</dc:creator>
  <cp:lastModifiedBy>微软用户</cp:lastModifiedBy>
  <cp:revision>29</cp:revision>
  <cp:lastPrinted>2019-10-28T06:47:00Z</cp:lastPrinted>
  <dcterms:created xsi:type="dcterms:W3CDTF">2019-03-08T08:53:00Z</dcterms:created>
  <dcterms:modified xsi:type="dcterms:W3CDTF">2019-10-28T07:14:00Z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