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2209" w:firstLineChars="500"/>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bCs/>
          <w:sz w:val="44"/>
          <w:szCs w:val="44"/>
        </w:rPr>
        <w:t>特困供养认定条件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一、同时具备以下条件的老年人、残疾人</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未成年人，应当依法纳入特困人员救助供养范围：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(一)无劳动能力;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(二)无生活来源;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(三)无法定赡养、抚养、扶养义务人或者其法定义务人无履行义务能力。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二、符合下列情形之一的，应当认定为本办法所称的无劳动能力：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(一)60周岁以上的老年人;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(二)未满16周岁的未成年人;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(三)残疾等级为一、二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级的智力、精神残疾人，残疾等级为一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级的肢体残疾人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残疾等级为一级的视力残疾人。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三、收入总和低于当地最低生活保障标准，且财产符合当地特困人员财产状况规定的，应当认定为本办法所称的无生活来源。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特困人员收入是指特困人员在规定期限内扣除缴纳的个人所得税及个人按规定缴纳的社会保障性支出后的全部可支配收入。主要包括: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包括工资性收入、经营净收入、财产净收入、转移净收入等各类收入，中央确定的城乡居民基本养老保险基础养老金、基本医疗保险等社会保险和优待抚恤金、高龄津贴不计入在内。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四、法定义务人符合下列情形之一的，应当认定为本办法所称的无履行义务能力：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(一)特困人员;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(二)60周岁及以上的最低生活保障对象;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(三)70周岁及以上的老年人，本人收入低于当地上年度人均可支配收入，且其财产符合当地低保边缘家庭财产状况规定的;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(四)重度残疾人和残疾等级为三级的智力、精神残疾人，本人收入低于当地上年度人均可支配收入，且其财产符合当地低保边缘家庭财产状况规定的;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(五)无民事行为能力、被宣告失踪或者在监狱服刑的人员，且其财产符合当地低保边缘家庭财产状况规定的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A005D"/>
    <w:rsid w:val="0387429E"/>
    <w:rsid w:val="1A7C785E"/>
    <w:rsid w:val="26B07180"/>
    <w:rsid w:val="375D6FB8"/>
    <w:rsid w:val="3C4A005D"/>
    <w:rsid w:val="45116DBE"/>
    <w:rsid w:val="59112D2B"/>
    <w:rsid w:val="650F27EE"/>
    <w:rsid w:val="6AC92F40"/>
    <w:rsid w:val="70C1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2022-12-08T02:51:00Z</dcterms:created>
  <dc:creator>Administrator</dc:creator>
  <cp:lastModifiedBy>Administrator</cp:lastModifiedBy>
  <dcterms:modified xsi:type="dcterms:W3CDTF">2026-04-09T01:52:47Z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